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Ind w:w="-12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40"/>
        <w:gridCol w:w="5490"/>
      </w:tblGrid>
      <w:tr w:rsidR="00423195" w14:paraId="77CED1AB" w14:textId="77777777" w:rsidTr="00B04C76">
        <w:tc>
          <w:tcPr>
            <w:tcW w:w="5940" w:type="dxa"/>
          </w:tcPr>
          <w:p w14:paraId="66B6AEAA" w14:textId="29D40F82" w:rsidR="00423195" w:rsidRDefault="00423195" w:rsidP="001B39A7">
            <w:pPr>
              <w:ind w:left="792" w:hanging="180"/>
            </w:pPr>
            <w:r>
              <w:rPr>
                <w:noProof/>
              </w:rPr>
              <w:drawing>
                <wp:inline distT="0" distB="0" distL="0" distR="0" wp14:anchorId="58B5ECD9" wp14:editId="564C1F77">
                  <wp:extent cx="1539116" cy="1088234"/>
                  <wp:effectExtent l="0" t="0" r="4445" b="0"/>
                  <wp:docPr id="1179638223" name="Picture 11796382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4215" name="Picture 3"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6676" cy="1114791"/>
                          </a:xfrm>
                          <a:prstGeom prst="rect">
                            <a:avLst/>
                          </a:prstGeom>
                          <a:noFill/>
                          <a:ln>
                            <a:noFill/>
                          </a:ln>
                        </pic:spPr>
                      </pic:pic>
                    </a:graphicData>
                  </a:graphic>
                </wp:inline>
              </w:drawing>
            </w:r>
          </w:p>
        </w:tc>
        <w:tc>
          <w:tcPr>
            <w:tcW w:w="5490" w:type="dxa"/>
          </w:tcPr>
          <w:p w14:paraId="0957AC5E" w14:textId="77777777" w:rsidR="00423195" w:rsidRPr="00711CCC" w:rsidRDefault="00423195" w:rsidP="001B39A7">
            <w:pPr>
              <w:ind w:right="786"/>
              <w:jc w:val="right"/>
              <w:rPr>
                <w:color w:val="2F5496" w:themeColor="accent1" w:themeShade="BF"/>
                <w:sz w:val="18"/>
                <w:szCs w:val="18"/>
              </w:rPr>
            </w:pPr>
            <w:r w:rsidRPr="00711CCC">
              <w:rPr>
                <w:color w:val="2F5496" w:themeColor="accent1" w:themeShade="BF"/>
                <w:sz w:val="18"/>
                <w:szCs w:val="18"/>
              </w:rPr>
              <w:t>1990 M Street, Suite 450</w:t>
            </w:r>
            <w:r w:rsidRPr="00711CCC">
              <w:rPr>
                <w:color w:val="2F5496" w:themeColor="accent1" w:themeShade="BF"/>
                <w:sz w:val="18"/>
                <w:szCs w:val="18"/>
              </w:rPr>
              <w:br/>
              <w:t>Washington, DC 20036</w:t>
            </w:r>
          </w:p>
          <w:p w14:paraId="037C4840" w14:textId="77777777" w:rsidR="00423195" w:rsidRPr="00711CCC" w:rsidRDefault="00423195" w:rsidP="001B39A7">
            <w:pPr>
              <w:ind w:right="786"/>
              <w:jc w:val="right"/>
              <w:rPr>
                <w:color w:val="2F5496" w:themeColor="accent1" w:themeShade="BF"/>
                <w:sz w:val="18"/>
                <w:szCs w:val="18"/>
              </w:rPr>
            </w:pPr>
            <w:r w:rsidRPr="00711CCC">
              <w:rPr>
                <w:color w:val="2F5496" w:themeColor="accent1" w:themeShade="BF"/>
                <w:sz w:val="18"/>
                <w:szCs w:val="18"/>
              </w:rPr>
              <w:t>Phone: 202-331-0975</w:t>
            </w:r>
            <w:r w:rsidRPr="00711CCC">
              <w:rPr>
                <w:color w:val="2F5496" w:themeColor="accent1" w:themeShade="BF"/>
                <w:sz w:val="18"/>
                <w:szCs w:val="18"/>
              </w:rPr>
              <w:br/>
              <w:t>Fax: 202-822-9788</w:t>
            </w:r>
          </w:p>
          <w:p w14:paraId="51EC7845" w14:textId="77777777" w:rsidR="00423195" w:rsidRDefault="00423195" w:rsidP="001B39A7">
            <w:pPr>
              <w:ind w:right="786"/>
              <w:jc w:val="right"/>
            </w:pPr>
            <w:r w:rsidRPr="00711CCC">
              <w:rPr>
                <w:color w:val="2F5496" w:themeColor="accent1" w:themeShade="BF"/>
                <w:sz w:val="18"/>
                <w:szCs w:val="18"/>
              </w:rPr>
              <w:t>www.thecgp.org</w:t>
            </w:r>
          </w:p>
        </w:tc>
      </w:tr>
    </w:tbl>
    <w:p w14:paraId="7A78DE15" w14:textId="77777777" w:rsidR="0043572A" w:rsidRDefault="00423195" w:rsidP="008E5AF4">
      <w:pPr>
        <w:ind w:left="-360"/>
        <w:contextualSpacing/>
      </w:pPr>
      <w:r>
        <w:br/>
      </w:r>
      <w:r w:rsidR="002873D1">
        <w:t xml:space="preserve">Re: </w:t>
      </w:r>
      <w:r w:rsidR="002873D1">
        <w:tab/>
      </w:r>
      <w:r w:rsidR="002873D1" w:rsidRPr="005771FF">
        <w:t>Federal Acquisition Regulation</w:t>
      </w:r>
      <w:r w:rsidR="002873D1">
        <w:t xml:space="preserve"> Interim Rule</w:t>
      </w:r>
      <w:r w:rsidR="002873D1" w:rsidRPr="005771FF">
        <w:t xml:space="preserve">: Prohibition on a </w:t>
      </w:r>
      <w:proofErr w:type="spellStart"/>
      <w:r w:rsidR="002873D1" w:rsidRPr="005771FF">
        <w:t>ByteDance</w:t>
      </w:r>
      <w:proofErr w:type="spellEnd"/>
      <w:r w:rsidR="002873D1" w:rsidRPr="005771FF">
        <w:t xml:space="preserve"> Covered Application</w:t>
      </w:r>
      <w:r w:rsidR="002873D1">
        <w:br/>
        <w:t>FAC 2023-04</w:t>
      </w:r>
    </w:p>
    <w:p w14:paraId="706D6E1D" w14:textId="228C467D" w:rsidR="002873D1" w:rsidRDefault="002873D1" w:rsidP="008E5AF4">
      <w:pPr>
        <w:ind w:left="-360"/>
        <w:contextualSpacing/>
      </w:pPr>
      <w:r>
        <w:t>FAR Case 2023-010</w:t>
      </w:r>
    </w:p>
    <w:p w14:paraId="23E9EE61" w14:textId="67E4EADA" w:rsidR="002873D1" w:rsidRDefault="002873D1" w:rsidP="008E5AF4">
      <w:pPr>
        <w:ind w:left="-360"/>
        <w:contextualSpacing/>
      </w:pPr>
      <w:r>
        <w:t>Docket No. 2023-0010, Sequence No. 1</w:t>
      </w:r>
    </w:p>
    <w:p w14:paraId="395D3106" w14:textId="77777777" w:rsidR="008E5AF4" w:rsidRDefault="008E5AF4" w:rsidP="008E5AF4">
      <w:pPr>
        <w:ind w:left="-360"/>
        <w:contextualSpacing/>
      </w:pPr>
    </w:p>
    <w:p w14:paraId="606ACB37" w14:textId="77777777" w:rsidR="002873D1" w:rsidRDefault="002873D1" w:rsidP="002873D1">
      <w:pPr>
        <w:ind w:left="-360"/>
      </w:pPr>
      <w:r>
        <w:t xml:space="preserve">By this letter, the Coalition for Government Procurement (“the Coalition”) conveys the comments of its members on the above referenced Interim Rule instituting a prohibition on a </w:t>
      </w:r>
      <w:proofErr w:type="spellStart"/>
      <w:r>
        <w:t>ByteDance</w:t>
      </w:r>
      <w:proofErr w:type="spellEnd"/>
      <w:r>
        <w:t xml:space="preserve"> Covered Application, which became effective on June 2, 2023. This Interim Rule amends</w:t>
      </w:r>
      <w:r w:rsidRPr="005771FF">
        <w:t xml:space="preserve"> the Federal Acquisition Regulation (FAR) to implement </w:t>
      </w:r>
      <w:r>
        <w:t>a</w:t>
      </w:r>
      <w:r w:rsidRPr="005771FF">
        <w:t xml:space="preserve"> ban on having or using TikTok or any successor application or service developed or provided by the company that made the application, </w:t>
      </w:r>
      <w:proofErr w:type="spellStart"/>
      <w:r w:rsidRPr="005771FF">
        <w:t>ByteDance</w:t>
      </w:r>
      <w:proofErr w:type="spellEnd"/>
      <w:r w:rsidRPr="005771FF">
        <w:t xml:space="preserve"> Limited</w:t>
      </w:r>
      <w:r>
        <w:t>,</w:t>
      </w:r>
      <w:r w:rsidRPr="005771FF">
        <w:t xml:space="preserve"> or an entity owned by </w:t>
      </w:r>
      <w:proofErr w:type="spellStart"/>
      <w:r w:rsidRPr="005771FF">
        <w:t>ByteDance</w:t>
      </w:r>
      <w:proofErr w:type="spellEnd"/>
      <w:r w:rsidRPr="005771FF">
        <w:t xml:space="preserve"> Limited (“covered application”). </w:t>
      </w:r>
    </w:p>
    <w:p w14:paraId="7C02DDDC" w14:textId="74868B6A" w:rsidR="002873D1" w:rsidRDefault="002873D1" w:rsidP="002873D1">
      <w:pPr>
        <w:ind w:left="-360"/>
      </w:pPr>
      <w:r>
        <w:t xml:space="preserve">By way of background, the Coalition is a non-profit association of firms selling commercial services and products to the Federal Government. </w:t>
      </w:r>
      <w:r w:rsidRPr="005771FF">
        <w:t xml:space="preserve">The </w:t>
      </w:r>
      <w:r>
        <w:t>association</w:t>
      </w:r>
      <w:r w:rsidRPr="005771FF">
        <w:t xml:space="preserve"> has over 300 member</w:t>
      </w:r>
      <w:r w:rsidR="00706403">
        <w:t xml:space="preserve"> firms</w:t>
      </w:r>
      <w:r w:rsidRPr="005771FF">
        <w:t>, 25% of which are small businesses.</w:t>
      </w:r>
      <w:r>
        <w:t xml:space="preserve"> Its members collectively account for a significant percentage of the sales generated through General Services Administration contracts, including the Multiple Award Schedule program. Coalition members also are responsible for many of the commercial item solutions purchased annually by the Federal Government. The Coalition is proud to have collaborated with Government officials for over 40 years in promoting the mutual goal of common-sense acquisition. </w:t>
      </w:r>
    </w:p>
    <w:p w14:paraId="15063BCF" w14:textId="4A175D0D" w:rsidR="002873D1" w:rsidRDefault="002873D1" w:rsidP="002873D1">
      <w:pPr>
        <w:ind w:left="-360"/>
      </w:pPr>
      <w:r>
        <w:t>The Coalition solicited feedback on the Interim Rule from its members. The submissions received are included in the attached matrix and organized by topic (</w:t>
      </w:r>
      <w:r w:rsidRPr="004948D9">
        <w:rPr>
          <w:i/>
          <w:iCs/>
        </w:rPr>
        <w:t>see</w:t>
      </w:r>
      <w:r w:rsidR="00D570C3">
        <w:rPr>
          <w:i/>
          <w:iCs/>
        </w:rPr>
        <w:t xml:space="preserve"> </w:t>
      </w:r>
      <w:r>
        <w:t xml:space="preserve">“Prohibition on a </w:t>
      </w:r>
      <w:proofErr w:type="spellStart"/>
      <w:r>
        <w:t>ByteDance</w:t>
      </w:r>
      <w:proofErr w:type="spellEnd"/>
      <w:r>
        <w:t xml:space="preserve"> Covered Application CGP Comment Matrix” </w:t>
      </w:r>
      <w:r w:rsidR="003928B9">
        <w:t xml:space="preserve">attached to </w:t>
      </w:r>
      <w:r>
        <w:t xml:space="preserve">this submission). Generally, member concerns </w:t>
      </w:r>
      <w:r w:rsidR="008B3AD8">
        <w:t>f</w:t>
      </w:r>
      <w:r w:rsidR="00EA225C">
        <w:t xml:space="preserve">all </w:t>
      </w:r>
      <w:r w:rsidR="008B3AD8">
        <w:t>under the following</w:t>
      </w:r>
      <w:r>
        <w:t>:</w:t>
      </w:r>
    </w:p>
    <w:p w14:paraId="4DF7CEA4" w14:textId="1DF95BA8" w:rsidR="00C35BC6" w:rsidRDefault="00AE6B14" w:rsidP="002873D1">
      <w:pPr>
        <w:ind w:left="-360"/>
      </w:pPr>
      <w:r>
        <w:rPr>
          <w:b/>
          <w:bCs/>
        </w:rPr>
        <w:t>T</w:t>
      </w:r>
      <w:r w:rsidRPr="00AE6B14">
        <w:rPr>
          <w:b/>
          <w:bCs/>
        </w:rPr>
        <w:t xml:space="preserve">he breadth of technology </w:t>
      </w:r>
      <w:r>
        <w:rPr>
          <w:b/>
          <w:bCs/>
        </w:rPr>
        <w:t>addressed by</w:t>
      </w:r>
      <w:r w:rsidRPr="00AE6B14" w:rsidDel="00AE6B14">
        <w:rPr>
          <w:b/>
          <w:bCs/>
        </w:rPr>
        <w:t xml:space="preserve"> </w:t>
      </w:r>
      <w:r>
        <w:rPr>
          <w:b/>
          <w:bCs/>
        </w:rPr>
        <w:t>t</w:t>
      </w:r>
      <w:r w:rsidR="002873D1" w:rsidRPr="00D74D3E">
        <w:rPr>
          <w:b/>
          <w:bCs/>
        </w:rPr>
        <w:t>he Interim Rule</w:t>
      </w:r>
      <w:r w:rsidR="00D570C3">
        <w:rPr>
          <w:b/>
          <w:bCs/>
        </w:rPr>
        <w:t xml:space="preserve"> </w:t>
      </w:r>
      <w:r w:rsidR="002873D1">
        <w:rPr>
          <w:b/>
          <w:bCs/>
        </w:rPr>
        <w:t>should</w:t>
      </w:r>
      <w:r w:rsidR="002873D1" w:rsidRPr="00D74D3E">
        <w:rPr>
          <w:b/>
          <w:bCs/>
        </w:rPr>
        <w:t xml:space="preserve"> </w:t>
      </w:r>
      <w:r>
        <w:rPr>
          <w:b/>
          <w:bCs/>
        </w:rPr>
        <w:t xml:space="preserve">be </w:t>
      </w:r>
      <w:r w:rsidR="002873D1" w:rsidRPr="00D74D3E">
        <w:rPr>
          <w:b/>
          <w:bCs/>
        </w:rPr>
        <w:t>clarif</w:t>
      </w:r>
      <w:r>
        <w:rPr>
          <w:b/>
          <w:bCs/>
        </w:rPr>
        <w:t>ied</w:t>
      </w:r>
      <w:r w:rsidR="002873D1">
        <w:rPr>
          <w:b/>
          <w:bCs/>
        </w:rPr>
        <w:t>:</w:t>
      </w:r>
      <w:r w:rsidR="002873D1">
        <w:t xml:space="preserve"> The Interim Rule prohibits </w:t>
      </w:r>
      <w:r w:rsidR="00B42FE9" w:rsidRPr="00B42FE9">
        <w:t>the presence or use of any covered application on any information technology owned or managed by the Government, or on any information technology used or provided by the contractor under a contract, including equipment provided by the contractor's employees, unless an exception is granted in accordance with Office of Management and Budget (OMB) Memorandum M–23–13.</w:t>
      </w:r>
      <w:r w:rsidR="006131F8">
        <w:rPr>
          <w:rStyle w:val="FootnoteReference"/>
        </w:rPr>
        <w:footnoteReference w:id="1"/>
      </w:r>
      <w:r w:rsidR="001030A4">
        <w:t xml:space="preserve"> </w:t>
      </w:r>
      <w:r w:rsidR="00B42FE9">
        <w:t xml:space="preserve">Under the rule, </w:t>
      </w:r>
      <w:r w:rsidR="002873D1">
        <w:t xml:space="preserve">a “covered application,” </w:t>
      </w:r>
      <w:r w:rsidR="003B36A4">
        <w:t>is “</w:t>
      </w:r>
      <w:r w:rsidR="008D29BC" w:rsidRPr="008D29BC">
        <w:t xml:space="preserve">the social networking service TikTok or any successor application or service developed or provided by </w:t>
      </w:r>
      <w:proofErr w:type="spellStart"/>
      <w:r w:rsidR="008D29BC" w:rsidRPr="008D29BC">
        <w:t>ByteDance</w:t>
      </w:r>
      <w:proofErr w:type="spellEnd"/>
      <w:r w:rsidR="008D29BC" w:rsidRPr="008D29BC">
        <w:t xml:space="preserve"> Limited or an entity owned by </w:t>
      </w:r>
      <w:proofErr w:type="spellStart"/>
      <w:r w:rsidR="008D29BC" w:rsidRPr="008D29BC">
        <w:t>ByteDance</w:t>
      </w:r>
      <w:proofErr w:type="spellEnd"/>
      <w:r w:rsidR="008D29BC" w:rsidRPr="008D29BC">
        <w:t xml:space="preserve"> Limited.</w:t>
      </w:r>
      <w:r w:rsidR="003B36A4">
        <w:t>”</w:t>
      </w:r>
      <w:r w:rsidR="008D29BC" w:rsidRPr="008D29BC">
        <w:t xml:space="preserve"> </w:t>
      </w:r>
      <w:r w:rsidR="002873D1">
        <w:t>“Information technology</w:t>
      </w:r>
      <w:r w:rsidR="002524D8">
        <w:t>,</w:t>
      </w:r>
      <w:r w:rsidR="002873D1">
        <w:t xml:space="preserve">” defined as set forth in </w:t>
      </w:r>
      <w:r w:rsidR="002873D1" w:rsidRPr="00A546EE">
        <w:t>40 U.S.C. 11101(6)</w:t>
      </w:r>
      <w:r w:rsidR="002524D8">
        <w:t>, is:</w:t>
      </w:r>
    </w:p>
    <w:p w14:paraId="4A43354F" w14:textId="730084F5" w:rsidR="00F745D0" w:rsidRDefault="00F745D0" w:rsidP="004948D9">
      <w:pPr>
        <w:ind w:left="720" w:right="720"/>
      </w:pPr>
      <w:r>
        <w:lastRenderedPageBreak/>
        <w:t>…any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1704D6F4" w14:textId="77777777" w:rsidR="00F745D0" w:rsidRDefault="00F745D0" w:rsidP="004948D9">
      <w:pPr>
        <w:ind w:left="720" w:right="720"/>
      </w:pPr>
      <w:r>
        <w:t>(i) Of that equipment; or</w:t>
      </w:r>
    </w:p>
    <w:p w14:paraId="19E4B591" w14:textId="77777777" w:rsidR="00F745D0" w:rsidRDefault="00F745D0" w:rsidP="004948D9">
      <w:pPr>
        <w:ind w:left="720" w:right="720"/>
      </w:pPr>
      <w:r>
        <w:t xml:space="preserve">(ii) Of that equipment to a significant extent in the performance of a service or the furnishing of a </w:t>
      </w:r>
      <w:proofErr w:type="gramStart"/>
      <w:r>
        <w:t>product;</w:t>
      </w:r>
      <w:proofErr w:type="gramEnd"/>
    </w:p>
    <w:p w14:paraId="4CCB14F3" w14:textId="561C5E69" w:rsidR="00F745D0" w:rsidRDefault="00DC24F3" w:rsidP="004948D9">
      <w:pPr>
        <w:ind w:left="720" w:right="720"/>
      </w:pPr>
      <w:r>
        <w:t xml:space="preserve">[It </w:t>
      </w:r>
      <w:proofErr w:type="gramStart"/>
      <w:r>
        <w:t>i]</w:t>
      </w:r>
      <w:proofErr w:type="spellStart"/>
      <w:r w:rsidR="00F745D0">
        <w:t>ncludes</w:t>
      </w:r>
      <w:proofErr w:type="spellEnd"/>
      <w:proofErr w:type="gramEnd"/>
      <w:r w:rsidR="00F745D0">
        <w:t xml:space="preserve">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0750D597" w14:textId="77777777" w:rsidR="001B39A7" w:rsidRDefault="002D788D" w:rsidP="001B39A7">
      <w:pPr>
        <w:pStyle w:val="ListParagraph"/>
      </w:pPr>
      <w:r>
        <w:t xml:space="preserve">[It </w:t>
      </w:r>
      <w:proofErr w:type="gramStart"/>
      <w:r>
        <w:t>d]</w:t>
      </w:r>
      <w:proofErr w:type="spellStart"/>
      <w:r w:rsidR="00F745D0">
        <w:t>oes</w:t>
      </w:r>
      <w:proofErr w:type="spellEnd"/>
      <w:proofErr w:type="gramEnd"/>
      <w:r w:rsidR="00F745D0">
        <w:t xml:space="preserve"> not include any equipment acquired by a Federal contractor incidental to a Federal contract.</w:t>
      </w:r>
    </w:p>
    <w:p w14:paraId="0E35982F" w14:textId="77777777" w:rsidR="001B39A7" w:rsidRDefault="001B39A7" w:rsidP="001B39A7">
      <w:pPr>
        <w:pStyle w:val="ListParagraph"/>
      </w:pPr>
    </w:p>
    <w:p w14:paraId="31914984" w14:textId="2A472B32" w:rsidR="008742DF" w:rsidRPr="00647140" w:rsidRDefault="00F8570A" w:rsidP="008742DF">
      <w:pPr>
        <w:pStyle w:val="ListParagraph"/>
        <w:ind w:left="-360"/>
      </w:pPr>
      <w:r>
        <w:t>G</w:t>
      </w:r>
      <w:r w:rsidR="002873D1">
        <w:t xml:space="preserve">iven the inclusion of interconnected systems in the definition of information technology, guidance is needed to identify the bounds on use that is “significant” under a </w:t>
      </w:r>
      <w:proofErr w:type="gramStart"/>
      <w:r w:rsidR="002873D1">
        <w:t>Federal</w:t>
      </w:r>
      <w:proofErr w:type="gramEnd"/>
      <w:r w:rsidR="002873D1">
        <w:t xml:space="preserve"> contract or “incidental to a Federal contract.” For instance, </w:t>
      </w:r>
      <w:r w:rsidR="009F6779">
        <w:t xml:space="preserve">with </w:t>
      </w:r>
      <w:r w:rsidR="002873D1">
        <w:t xml:space="preserve">messaging or emailing platforms ubiquitous within organizations, it is not clear whether </w:t>
      </w:r>
      <w:r w:rsidR="00C41492">
        <w:t>application of</w:t>
      </w:r>
      <w:r w:rsidR="002873D1">
        <w:t xml:space="preserve"> the Interim Rule </w:t>
      </w:r>
      <w:r w:rsidR="00C41492">
        <w:t>is limited</w:t>
      </w:r>
      <w:r w:rsidR="002873D1">
        <w:t xml:space="preserve"> to exchanges associated with the facilitation of work on a contract, </w:t>
      </w:r>
      <w:r w:rsidR="00C41492">
        <w:t xml:space="preserve">or whether it </w:t>
      </w:r>
      <w:r w:rsidR="00C77FE0">
        <w:t xml:space="preserve">extends to </w:t>
      </w:r>
      <w:r w:rsidR="002873D1">
        <w:t xml:space="preserve">passive receiving (but not sending) contract-related emails or other communications, or </w:t>
      </w:r>
      <w:r w:rsidR="00C77FE0">
        <w:t xml:space="preserve">to </w:t>
      </w:r>
      <w:r w:rsidR="002873D1">
        <w:t>storage application</w:t>
      </w:r>
      <w:r w:rsidR="00C77FE0">
        <w:t>s</w:t>
      </w:r>
      <w:r w:rsidR="002873D1">
        <w:t xml:space="preserve"> on a device that could access contract materials. </w:t>
      </w:r>
    </w:p>
    <w:p w14:paraId="7E84EE28" w14:textId="4805AC79" w:rsidR="00D5492E" w:rsidRDefault="00E14209" w:rsidP="008742DF">
      <w:pPr>
        <w:ind w:left="-360"/>
      </w:pPr>
      <w:r>
        <w:rPr>
          <w:b/>
          <w:bCs/>
        </w:rPr>
        <w:t>T</w:t>
      </w:r>
      <w:r w:rsidR="00FD681E">
        <w:rPr>
          <w:b/>
          <w:bCs/>
        </w:rPr>
        <w:t>he extent to which the government seeks to</w:t>
      </w:r>
      <w:r w:rsidR="00CF5AAF">
        <w:rPr>
          <w:b/>
          <w:bCs/>
        </w:rPr>
        <w:t xml:space="preserve"> have contractors</w:t>
      </w:r>
      <w:r w:rsidR="00FD681E">
        <w:rPr>
          <w:b/>
          <w:bCs/>
        </w:rPr>
        <w:t xml:space="preserve"> address the </w:t>
      </w:r>
      <w:r w:rsidR="008742DF" w:rsidRPr="002F3D34">
        <w:rPr>
          <w:b/>
          <w:bCs/>
        </w:rPr>
        <w:t>presence</w:t>
      </w:r>
      <w:r>
        <w:rPr>
          <w:b/>
          <w:bCs/>
        </w:rPr>
        <w:t xml:space="preserve"> </w:t>
      </w:r>
      <w:r w:rsidR="00815E18">
        <w:rPr>
          <w:b/>
          <w:bCs/>
        </w:rPr>
        <w:t xml:space="preserve">of a covered application </w:t>
      </w:r>
      <w:r>
        <w:rPr>
          <w:b/>
          <w:bCs/>
        </w:rPr>
        <w:t>should be clarified in the Interim Rule</w:t>
      </w:r>
      <w:r w:rsidR="008742DF" w:rsidRPr="002F3D34">
        <w:rPr>
          <w:b/>
          <w:bCs/>
        </w:rPr>
        <w:t xml:space="preserve">: </w:t>
      </w:r>
      <w:r w:rsidR="008742DF">
        <w:t>The prohibition o</w:t>
      </w:r>
      <w:r w:rsidR="00815E18">
        <w:t>f</w:t>
      </w:r>
      <w:r w:rsidR="008742DF">
        <w:t xml:space="preserve"> a covered application applies to “the </w:t>
      </w:r>
      <w:r w:rsidR="008742DF" w:rsidRPr="004948D9">
        <w:t>presence</w:t>
      </w:r>
      <w:r w:rsidR="008742DF">
        <w:t xml:space="preserve"> or use of a covered application on information technology, including certain equipment used by Federal contractors</w:t>
      </w:r>
      <w:r w:rsidR="005C1665">
        <w:t>.</w:t>
      </w:r>
      <w:r w:rsidR="008742DF">
        <w:t xml:space="preserve">” </w:t>
      </w:r>
      <w:r w:rsidR="005C1665">
        <w:t xml:space="preserve">In discussing the </w:t>
      </w:r>
      <w:r w:rsidR="00D5492E">
        <w:t>rule</w:t>
      </w:r>
      <w:r w:rsidR="00E54439">
        <w:t>’</w:t>
      </w:r>
      <w:r w:rsidR="00D5492E">
        <w:t>s expected impact, the Interim Rule states</w:t>
      </w:r>
      <w:r w:rsidR="000C5645">
        <w:t xml:space="preserve"> that</w:t>
      </w:r>
    </w:p>
    <w:p w14:paraId="36C22750" w14:textId="21D7AAF2" w:rsidR="000C5645" w:rsidRDefault="000C5645" w:rsidP="004948D9">
      <w:pPr>
        <w:ind w:left="720" w:right="720"/>
      </w:pPr>
      <w:r>
        <w:t xml:space="preserve">… changes made by this rule do require contractors to leverage existing technology, policies, and procedures already in place and update those to prohibit the presence or use of a covered application or the URLs associated with a covered application on devices used by a contractor under a contract with the Government. It is expected that contractors already have technology in place to block access to unwanted or nefarious websites, prevent the download of prohibited applications (apps) to devices, and remove a downloaded app. Additionally, it is expected that contractors already have policies in place for employees to follow for workplace technology. It is recognized that these policies will need to be updated to include the prohibition on having or using a covered application, and that implementation of the prohibition may also require employee communications or training on this new requirement. It will be particularly </w:t>
      </w:r>
      <w:r>
        <w:lastRenderedPageBreak/>
        <w:t xml:space="preserve">important for contractors to clearly explain to their employees when a covered application is prohibited on a personal device used in performance of a </w:t>
      </w:r>
      <w:proofErr w:type="gramStart"/>
      <w:r>
        <w:t>Federal</w:t>
      </w:r>
      <w:proofErr w:type="gramEnd"/>
      <w:r>
        <w:t xml:space="preserve"> contract.</w:t>
      </w:r>
    </w:p>
    <w:p w14:paraId="2DBE2538" w14:textId="3BCD219A" w:rsidR="008742DF" w:rsidRDefault="00327D0D" w:rsidP="008742DF">
      <w:pPr>
        <w:ind w:left="-360"/>
      </w:pPr>
      <w:r>
        <w:t xml:space="preserve">Under the Interim Rule, it is not clear </w:t>
      </w:r>
      <w:r w:rsidR="00A541D5">
        <w:t xml:space="preserve">to what extent </w:t>
      </w:r>
      <w:r w:rsidR="00562309">
        <w:t xml:space="preserve">contractors are to address </w:t>
      </w:r>
      <w:r w:rsidR="008C3BFD">
        <w:t xml:space="preserve">the passive </w:t>
      </w:r>
      <w:r w:rsidR="00933B9F">
        <w:t>presence</w:t>
      </w:r>
      <w:r w:rsidR="008C3BFD">
        <w:t xml:space="preserve"> of URLs via email, text, or otherwise.</w:t>
      </w:r>
      <w:r w:rsidR="00D42B7D">
        <w:t xml:space="preserve"> </w:t>
      </w:r>
      <w:r w:rsidR="00330532">
        <w:t xml:space="preserve">Likewise, </w:t>
      </w:r>
      <w:r w:rsidR="003C5D01">
        <w:t xml:space="preserve">it is unclear </w:t>
      </w:r>
      <w:r w:rsidR="00685687">
        <w:t xml:space="preserve">to what extent the government seeks to have contractors control search results </w:t>
      </w:r>
      <w:r w:rsidR="008D143B">
        <w:t>where UR</w:t>
      </w:r>
      <w:r w:rsidR="001B39A7">
        <w:t>L</w:t>
      </w:r>
      <w:r w:rsidR="008D143B">
        <w:t>s may appear.</w:t>
      </w:r>
      <w:r w:rsidR="001030A4">
        <w:t xml:space="preserve"> </w:t>
      </w:r>
      <w:r w:rsidR="00DA5E0C">
        <w:t>To the extent that the government see</w:t>
      </w:r>
      <w:r w:rsidR="00FD3AF5">
        <w:t>ks to have contractors</w:t>
      </w:r>
      <w:r w:rsidR="00DA5E0C">
        <w:t xml:space="preserve"> </w:t>
      </w:r>
      <w:r w:rsidR="008742DF">
        <w:t xml:space="preserve">screen and segregate offending inbound </w:t>
      </w:r>
      <w:r w:rsidR="00FD3AF5">
        <w:t xml:space="preserve">employee </w:t>
      </w:r>
      <w:r w:rsidR="008742DF">
        <w:t xml:space="preserve">correspondence </w:t>
      </w:r>
      <w:r w:rsidR="00FD3AF5">
        <w:t>and search results</w:t>
      </w:r>
      <w:r w:rsidR="005A2062">
        <w:t xml:space="preserve">, it should be recognized that contractors may not </w:t>
      </w:r>
      <w:r w:rsidR="00B31F03">
        <w:t xml:space="preserve">have technology in place to screen and segregate in this manner, and thus, the </w:t>
      </w:r>
      <w:r w:rsidR="00233FB2">
        <w:t xml:space="preserve">requirement to do so likely will </w:t>
      </w:r>
      <w:r w:rsidR="008742DF">
        <w:t>increase the cost of implementing the Interim Rule.</w:t>
      </w:r>
    </w:p>
    <w:p w14:paraId="55388901" w14:textId="0EA82450" w:rsidR="0043572A" w:rsidRDefault="008742DF" w:rsidP="0043572A">
      <w:pPr>
        <w:ind w:left="-360"/>
      </w:pPr>
      <w:r w:rsidRPr="00B96EB9">
        <w:rPr>
          <w:b/>
          <w:bCs/>
        </w:rPr>
        <w:t xml:space="preserve">The </w:t>
      </w:r>
      <w:r w:rsidR="002E052F">
        <w:rPr>
          <w:b/>
          <w:bCs/>
        </w:rPr>
        <w:t>Interim Rule should be</w:t>
      </w:r>
      <w:r w:rsidRPr="00B96EB9">
        <w:rPr>
          <w:b/>
          <w:bCs/>
        </w:rPr>
        <w:t xml:space="preserve"> clarif</w:t>
      </w:r>
      <w:r w:rsidR="002E052F">
        <w:rPr>
          <w:b/>
          <w:bCs/>
        </w:rPr>
        <w:t>ied</w:t>
      </w:r>
      <w:r w:rsidRPr="00B96EB9">
        <w:rPr>
          <w:b/>
          <w:bCs/>
        </w:rPr>
        <w:t xml:space="preserve"> </w:t>
      </w:r>
      <w:r>
        <w:rPr>
          <w:b/>
          <w:bCs/>
        </w:rPr>
        <w:t xml:space="preserve">to </w:t>
      </w:r>
      <w:r w:rsidR="003F01EA">
        <w:rPr>
          <w:b/>
          <w:bCs/>
        </w:rPr>
        <w:t>identify the</w:t>
      </w:r>
      <w:r>
        <w:rPr>
          <w:b/>
          <w:bCs/>
        </w:rPr>
        <w:t xml:space="preserve"> extent</w:t>
      </w:r>
      <w:r w:rsidR="003F01EA">
        <w:rPr>
          <w:b/>
          <w:bCs/>
        </w:rPr>
        <w:t xml:space="preserve"> to which</w:t>
      </w:r>
      <w:r w:rsidRPr="00B96EB9">
        <w:rPr>
          <w:b/>
          <w:bCs/>
        </w:rPr>
        <w:t xml:space="preserve"> technical solutions </w:t>
      </w:r>
      <w:r>
        <w:rPr>
          <w:b/>
          <w:bCs/>
        </w:rPr>
        <w:t xml:space="preserve">may </w:t>
      </w:r>
      <w:r w:rsidRPr="00B96EB9">
        <w:rPr>
          <w:b/>
          <w:bCs/>
        </w:rPr>
        <w:t xml:space="preserve">allow Federal contractors to use information technology where TikTok is present </w:t>
      </w:r>
      <w:r w:rsidR="00184BBB">
        <w:rPr>
          <w:b/>
          <w:bCs/>
        </w:rPr>
        <w:t>in a system</w:t>
      </w:r>
      <w:r w:rsidRPr="00B96EB9">
        <w:rPr>
          <w:b/>
          <w:bCs/>
        </w:rPr>
        <w:t>, but i</w:t>
      </w:r>
      <w:r w:rsidR="00105D77">
        <w:rPr>
          <w:b/>
          <w:bCs/>
        </w:rPr>
        <w:t>s</w:t>
      </w:r>
      <w:r w:rsidRPr="00B96EB9">
        <w:rPr>
          <w:b/>
          <w:bCs/>
        </w:rPr>
        <w:t xml:space="preserve"> </w:t>
      </w:r>
      <w:r w:rsidR="00AE4A19">
        <w:rPr>
          <w:b/>
          <w:bCs/>
        </w:rPr>
        <w:t xml:space="preserve">segregated </w:t>
      </w:r>
      <w:r w:rsidRPr="00B96EB9">
        <w:rPr>
          <w:b/>
          <w:bCs/>
        </w:rPr>
        <w:t xml:space="preserve">from </w:t>
      </w:r>
      <w:r w:rsidR="00105D77">
        <w:rPr>
          <w:b/>
          <w:bCs/>
        </w:rPr>
        <w:t xml:space="preserve">those </w:t>
      </w:r>
      <w:r w:rsidR="00F07A28">
        <w:rPr>
          <w:b/>
          <w:bCs/>
        </w:rPr>
        <w:t xml:space="preserve">network elements </w:t>
      </w:r>
      <w:r w:rsidRPr="00B96EB9">
        <w:rPr>
          <w:b/>
          <w:bCs/>
        </w:rPr>
        <w:t>where the Federal work is performed:</w:t>
      </w:r>
      <w:r>
        <w:t xml:space="preserve"> In the commercial wo</w:t>
      </w:r>
      <w:r w:rsidR="00706403">
        <w:t>r</w:t>
      </w:r>
      <w:r>
        <w:t>ld, many businesses use a combination of technical s</w:t>
      </w:r>
      <w:r w:rsidR="00F07A28">
        <w:t>ystems</w:t>
      </w:r>
      <w:r>
        <w:t xml:space="preserve"> and policies to allow business applications to run securely on personal devices, such as run</w:t>
      </w:r>
      <w:r w:rsidR="005128A2">
        <w:t>ning</w:t>
      </w:r>
      <w:r>
        <w:t xml:space="preserve"> within a secure container or on separate partitions. It is not clear whether any of these solutions </w:t>
      </w:r>
      <w:r w:rsidR="00384282">
        <w:t xml:space="preserve">are </w:t>
      </w:r>
      <w:r>
        <w:t>acceptable under the Interim Rule.</w:t>
      </w:r>
      <w:r w:rsidR="00F02833">
        <w:t xml:space="preserve"> Likewise, </w:t>
      </w:r>
      <w:r w:rsidR="00C44A83">
        <w:t>global enterprises may be networked to firewall operations geographically or by customer</w:t>
      </w:r>
      <w:r w:rsidR="00A609C6">
        <w:t>, and it is not clear whether those firewalling operations will comply under the Interim Rule</w:t>
      </w:r>
      <w:r w:rsidR="00C44A83">
        <w:t xml:space="preserve">. </w:t>
      </w:r>
    </w:p>
    <w:p w14:paraId="3A924D48" w14:textId="288EEB98" w:rsidR="0043572A" w:rsidRDefault="0043572A" w:rsidP="0043572A">
      <w:pPr>
        <w:ind w:left="-360"/>
      </w:pPr>
      <w:r w:rsidRPr="00B96EB9">
        <w:rPr>
          <w:b/>
          <w:bCs/>
        </w:rPr>
        <w:t xml:space="preserve">The FAR Council’s assertion that the rule “is not expected to have a significant economic impact on businesses” </w:t>
      </w:r>
      <w:r>
        <w:rPr>
          <w:b/>
          <w:bCs/>
        </w:rPr>
        <w:t>may be incorrect</w:t>
      </w:r>
      <w:r w:rsidRPr="00B96EB9">
        <w:rPr>
          <w:b/>
          <w:bCs/>
        </w:rPr>
        <w:t xml:space="preserve">: </w:t>
      </w:r>
      <w:r>
        <w:t xml:space="preserve">The FAR Council’s evaluation of the rule’s expected impact and complexity does not fully account for the rule’s potential effects. </w:t>
      </w:r>
      <w:r w:rsidR="00165DE6">
        <w:t xml:space="preserve">Should </w:t>
      </w:r>
      <w:r w:rsidR="00643DDF">
        <w:t xml:space="preserve">the Interim Rule prompt the restriction or elimination </w:t>
      </w:r>
      <w:r w:rsidR="009F744B">
        <w:t xml:space="preserve">of </w:t>
      </w:r>
      <w:r>
        <w:t xml:space="preserve">BYOD programs, </w:t>
      </w:r>
      <w:r w:rsidR="00643DDF">
        <w:t>it could increase the cost of doing bu</w:t>
      </w:r>
      <w:r w:rsidR="009F744B">
        <w:t>sin</w:t>
      </w:r>
      <w:r w:rsidR="00643DDF">
        <w:t>ess</w:t>
      </w:r>
      <w:r w:rsidR="000C2D88">
        <w:t>.</w:t>
      </w:r>
      <w:r>
        <w:t xml:space="preserve"> This cost is not accounted for in the Interim Rule and may represent a significant expense, especially for small businesses. </w:t>
      </w:r>
    </w:p>
    <w:p w14:paraId="19AB9967" w14:textId="262EDC78" w:rsidR="0043572A" w:rsidRDefault="000C2D88" w:rsidP="0043572A">
      <w:pPr>
        <w:pStyle w:val="ListParagraph"/>
        <w:ind w:left="-360"/>
      </w:pPr>
      <w:r>
        <w:t>In addition, b</w:t>
      </w:r>
      <w:r w:rsidR="0043572A">
        <w:t>ecause the rule requires contractors to flow down the requirement to subcontractors, even without official supply-chain review requirements, companies will experience analogous costs and challenges if they want to verify their subcontractors’ compliance. Some subcontractors, of course, will not be willing or able to comply with the new requirement, leading to further costs for government and industry to find new subcontractors.</w:t>
      </w:r>
    </w:p>
    <w:p w14:paraId="6728BA84" w14:textId="77777777" w:rsidR="0043572A" w:rsidRDefault="0043572A" w:rsidP="0043572A">
      <w:pPr>
        <w:pStyle w:val="ListParagraph"/>
        <w:ind w:left="-360"/>
      </w:pPr>
    </w:p>
    <w:p w14:paraId="250C7ADA" w14:textId="1FA401B2" w:rsidR="0043572A" w:rsidRDefault="0043572A" w:rsidP="008E5AF4">
      <w:pPr>
        <w:pStyle w:val="ListParagraph"/>
        <w:ind w:left="-360"/>
      </w:pPr>
      <w:r>
        <w:t>Finally, with respect to existing contracts, to the extent that the changes anticipated by the Interim Rule amount to cardinal changes not within the contemplation of the parties at the commencement of an agreement, there may be need for bilateral contract modifications. The modifications will have cost implications for the programs involved.</w:t>
      </w:r>
    </w:p>
    <w:p w14:paraId="6620E767" w14:textId="77777777" w:rsidR="005D434D" w:rsidRDefault="005D434D" w:rsidP="008E5AF4">
      <w:pPr>
        <w:pStyle w:val="ListParagraph"/>
        <w:ind w:left="-360"/>
      </w:pPr>
    </w:p>
    <w:p w14:paraId="5BC7AAAB" w14:textId="251D2B9B" w:rsidR="00EC521F" w:rsidRDefault="00EC521F" w:rsidP="00F02B8A">
      <w:pPr>
        <w:pStyle w:val="ListParagraph"/>
        <w:ind w:left="-360"/>
      </w:pPr>
      <w:r w:rsidRPr="004948D9">
        <w:rPr>
          <w:b/>
          <w:bCs/>
        </w:rPr>
        <w:t xml:space="preserve">The Interim Rule should </w:t>
      </w:r>
      <w:r w:rsidR="00E7664B" w:rsidRPr="004948D9">
        <w:rPr>
          <w:b/>
          <w:bCs/>
        </w:rPr>
        <w:t xml:space="preserve">institute implementation </w:t>
      </w:r>
      <w:r w:rsidR="001072DC">
        <w:rPr>
          <w:b/>
          <w:bCs/>
        </w:rPr>
        <w:t xml:space="preserve">of the rule </w:t>
      </w:r>
      <w:r w:rsidR="00E7664B" w:rsidRPr="004948D9">
        <w:rPr>
          <w:b/>
          <w:bCs/>
        </w:rPr>
        <w:t xml:space="preserve">with </w:t>
      </w:r>
      <w:r w:rsidR="00371786">
        <w:rPr>
          <w:b/>
          <w:bCs/>
        </w:rPr>
        <w:t xml:space="preserve">a </w:t>
      </w:r>
      <w:r w:rsidR="001072DC">
        <w:rPr>
          <w:b/>
          <w:bCs/>
        </w:rPr>
        <w:t xml:space="preserve">program of </w:t>
      </w:r>
      <w:r w:rsidR="00E7664B" w:rsidRPr="004948D9">
        <w:rPr>
          <w:b/>
          <w:bCs/>
        </w:rPr>
        <w:t xml:space="preserve">education: </w:t>
      </w:r>
      <w:r w:rsidR="00B67FCB">
        <w:t>Understanding can</w:t>
      </w:r>
      <w:r w:rsidR="00E35792">
        <w:t xml:space="preserve"> reduce complexity and</w:t>
      </w:r>
      <w:r w:rsidR="00B67FCB">
        <w:t xml:space="preserve"> facilitate compliance</w:t>
      </w:r>
      <w:r w:rsidR="00A76A0A">
        <w:t>.</w:t>
      </w:r>
      <w:r w:rsidR="00E35792">
        <w:t xml:space="preserve"> The</w:t>
      </w:r>
      <w:r w:rsidR="006933C7">
        <w:t xml:space="preserve">refore, </w:t>
      </w:r>
      <w:r w:rsidR="00E53841">
        <w:t xml:space="preserve">it would be helpful for the Interim Rule to require the government to </w:t>
      </w:r>
      <w:r w:rsidR="00774A39">
        <w:t xml:space="preserve">provide </w:t>
      </w:r>
      <w:r w:rsidR="005D4A27">
        <w:t xml:space="preserve">contractors with an understanding of its concerns with the application and the </w:t>
      </w:r>
      <w:r w:rsidR="006D32A6">
        <w:t>company involved, identifying the risks it has identified</w:t>
      </w:r>
      <w:r w:rsidR="002F3DD6">
        <w:t>. This education</w:t>
      </w:r>
      <w:r w:rsidR="00CE119B">
        <w:t>, including FAQs and a summary</w:t>
      </w:r>
      <w:r w:rsidR="002965B5">
        <w:t xml:space="preserve"> o</w:t>
      </w:r>
      <w:r w:rsidR="00CE119B">
        <w:t xml:space="preserve">f government </w:t>
      </w:r>
      <w:r w:rsidR="002965B5">
        <w:t>implementation activities and best practices,</w:t>
      </w:r>
      <w:r w:rsidR="002F3DD6">
        <w:t xml:space="preserve"> would help contractors in their efforts to educate</w:t>
      </w:r>
      <w:r w:rsidRPr="00EC521F">
        <w:t xml:space="preserve"> employees and suppliers</w:t>
      </w:r>
      <w:r w:rsidR="009D3E83">
        <w:t>, raising sensitivity and awareness</w:t>
      </w:r>
      <w:r w:rsidRPr="00EC521F">
        <w:t>.</w:t>
      </w:r>
      <w:r w:rsidR="001030A4">
        <w:t xml:space="preserve"> </w:t>
      </w:r>
    </w:p>
    <w:p w14:paraId="6AD1B22B" w14:textId="3EC9C0A5" w:rsidR="0043572A" w:rsidRDefault="0043572A" w:rsidP="0043572A">
      <w:pPr>
        <w:ind w:left="-360"/>
      </w:pPr>
      <w:r w:rsidRPr="00B96EB9">
        <w:rPr>
          <w:b/>
          <w:bCs/>
        </w:rPr>
        <w:t xml:space="preserve">The FAR Council should engage in further discussion with stakeholders in industry and government: </w:t>
      </w:r>
      <w:r>
        <w:t>Because the rule concerns cybersecurity and national security issues, we understand the decision to issue an Interim Rule and the urgency to establish a final rule. The ambiguities in the Interim Rule, however, create economic and compliance burdens for contractors, as well as administrative burdens for front-line personnel who must understand</w:t>
      </w:r>
      <w:r w:rsidR="000F3828">
        <w:t xml:space="preserve">, </w:t>
      </w:r>
      <w:r>
        <w:t>discuss</w:t>
      </w:r>
      <w:r w:rsidR="000F3828">
        <w:t>, and implement</w:t>
      </w:r>
      <w:r>
        <w:t xml:space="preserve"> the rule. They also increase the risk that the rule will not be implemented effectively and fail to deliver the full cybersecurity benefits Congress anticipated. Consultation with all stakeholders in government and industry will allow the FAR Council to understand what clarifications are necessary to achieve the policy goals being sought under the rule.</w:t>
      </w:r>
    </w:p>
    <w:p w14:paraId="13844CEB" w14:textId="724098A9" w:rsidR="00E660AE" w:rsidRDefault="000E41A7" w:rsidP="001B39A7">
      <w:pPr>
        <w:ind w:left="-360"/>
      </w:pPr>
      <w:r>
        <w:t xml:space="preserve">The concerns highlighted herein are addressed more specifically </w:t>
      </w:r>
      <w:r w:rsidR="00F517A4">
        <w:t xml:space="preserve">in the attached anonymized </w:t>
      </w:r>
      <w:r w:rsidR="0043572A">
        <w:t>member comments</w:t>
      </w:r>
      <w:r w:rsidR="00F517A4">
        <w:t>.</w:t>
      </w:r>
      <w:r w:rsidR="001030A4">
        <w:t xml:space="preserve"> </w:t>
      </w:r>
      <w:r w:rsidR="00F42934">
        <w:t>The Coalition hopes you find them useful in your review.</w:t>
      </w:r>
      <w:r w:rsidR="0043572A">
        <w:t xml:space="preserve"> In the meantime, please do not hesitate to reach out to me if you would like to discuss our comments further or meet with our members by emailing </w:t>
      </w:r>
      <w:hyperlink r:id="rId8" w:history="1">
        <w:r w:rsidR="0043572A" w:rsidRPr="007310C7">
          <w:rPr>
            <w:rStyle w:val="Hyperlink"/>
          </w:rPr>
          <w:t>rwaldron@thecgp.org</w:t>
        </w:r>
      </w:hyperlink>
      <w:r w:rsidR="0043572A">
        <w:t xml:space="preserve"> or calling (202) 315-1051.</w:t>
      </w:r>
    </w:p>
    <w:p w14:paraId="09AD0593" w14:textId="0F69911C" w:rsidR="0043572A" w:rsidRDefault="0043572A" w:rsidP="001B39A7">
      <w:pPr>
        <w:ind w:left="-360"/>
      </w:pPr>
      <w:r>
        <w:t>On behalf of our members, thank you again for your consideration of these comments.</w:t>
      </w:r>
    </w:p>
    <w:p w14:paraId="4DBB85E2" w14:textId="77777777" w:rsidR="0043572A" w:rsidRPr="00D1371D" w:rsidRDefault="0043572A" w:rsidP="0043572A">
      <w:pPr>
        <w:ind w:left="-360"/>
      </w:pPr>
      <w:r w:rsidRPr="00D1371D">
        <w:t>Sincerely,</w:t>
      </w:r>
    </w:p>
    <w:p w14:paraId="2B0449F7" w14:textId="77777777" w:rsidR="001B39A7" w:rsidRDefault="001B39A7" w:rsidP="002873D1">
      <w:pPr>
        <w:ind w:left="-360"/>
      </w:pPr>
    </w:p>
    <w:p w14:paraId="4760CF33" w14:textId="34D42AAC" w:rsidR="001B39A7" w:rsidRDefault="001B39A7" w:rsidP="001B39A7">
      <w:pPr>
        <w:spacing w:before="0" w:beforeAutospacing="0" w:after="0" w:afterAutospacing="0"/>
        <w:ind w:left="-360"/>
      </w:pPr>
      <w:r>
        <w:t>Roger Waldron</w:t>
      </w:r>
    </w:p>
    <w:p w14:paraId="260C2BC7" w14:textId="1BCEA339" w:rsidR="000E4CB7" w:rsidRDefault="001B39A7" w:rsidP="001B39A7">
      <w:pPr>
        <w:spacing w:before="0" w:beforeAutospacing="0"/>
        <w:ind w:left="-360"/>
      </w:pPr>
      <w:r>
        <w:t>President</w:t>
      </w:r>
    </w:p>
    <w:p w14:paraId="615888E3" w14:textId="77777777" w:rsidR="000E4CB7" w:rsidRDefault="000E4CB7">
      <w:pPr>
        <w:spacing w:before="0" w:beforeAutospacing="0" w:after="160" w:afterAutospacing="0" w:line="259" w:lineRule="auto"/>
      </w:pPr>
      <w:r>
        <w:br w:type="page"/>
      </w:r>
    </w:p>
    <w:p w14:paraId="15E96684" w14:textId="77777777" w:rsidR="000E4CB7" w:rsidRDefault="000E4CB7" w:rsidP="000E4CB7">
      <w:pPr>
        <w:rPr>
          <w:b/>
          <w:bCs/>
          <w:sz w:val="28"/>
          <w:szCs w:val="28"/>
        </w:rPr>
      </w:pPr>
      <w:r>
        <w:rPr>
          <w:b/>
          <w:bCs/>
          <w:sz w:val="28"/>
          <w:szCs w:val="28"/>
        </w:rPr>
        <w:t>Section</w:t>
      </w:r>
      <w:r>
        <w:rPr>
          <w:b/>
          <w:bCs/>
          <w:sz w:val="28"/>
          <w:szCs w:val="28"/>
        </w:rPr>
        <w:tab/>
      </w:r>
      <w:r>
        <w:rPr>
          <w:b/>
          <w:bCs/>
          <w:sz w:val="28"/>
          <w:szCs w:val="28"/>
        </w:rPr>
        <w:tab/>
      </w:r>
      <w:r>
        <w:rPr>
          <w:b/>
          <w:bCs/>
          <w:sz w:val="28"/>
          <w:szCs w:val="28"/>
        </w:rPr>
        <w:tab/>
        <w:t>Topic</w:t>
      </w:r>
      <w:r>
        <w:rPr>
          <w:b/>
          <w:bCs/>
          <w:sz w:val="28"/>
          <w:szCs w:val="28"/>
        </w:rPr>
        <w:tab/>
      </w:r>
      <w:r>
        <w:rPr>
          <w:b/>
          <w:bCs/>
          <w:sz w:val="28"/>
          <w:szCs w:val="28"/>
        </w:rPr>
        <w:tab/>
      </w:r>
      <w:r>
        <w:rPr>
          <w:b/>
          <w:bCs/>
          <w:sz w:val="28"/>
          <w:szCs w:val="28"/>
        </w:rPr>
        <w:tab/>
      </w:r>
      <w:r>
        <w:rPr>
          <w:b/>
          <w:bCs/>
          <w:sz w:val="28"/>
          <w:szCs w:val="28"/>
        </w:rPr>
        <w:tab/>
        <w:t>Comment(s)</w:t>
      </w:r>
    </w:p>
    <w:tbl>
      <w:tblPr>
        <w:tblStyle w:val="TableGrid"/>
        <w:tblW w:w="9805" w:type="dxa"/>
        <w:tblLook w:val="04A0" w:firstRow="1" w:lastRow="0" w:firstColumn="1" w:lastColumn="0" w:noHBand="0" w:noVBand="1"/>
      </w:tblPr>
      <w:tblGrid>
        <w:gridCol w:w="2274"/>
        <w:gridCol w:w="2087"/>
        <w:gridCol w:w="5444"/>
      </w:tblGrid>
      <w:tr w:rsidR="000E4CB7" w14:paraId="2825AA29" w14:textId="77777777" w:rsidTr="00DB1686">
        <w:trPr>
          <w:trHeight w:val="8190"/>
        </w:trPr>
        <w:tc>
          <w:tcPr>
            <w:tcW w:w="2274" w:type="dxa"/>
            <w:vMerge w:val="restart"/>
            <w:tcBorders>
              <w:top w:val="single" w:sz="4" w:space="0" w:color="auto"/>
              <w:left w:val="single" w:sz="4" w:space="0" w:color="auto"/>
              <w:bottom w:val="single" w:sz="4" w:space="0" w:color="auto"/>
              <w:right w:val="single" w:sz="4" w:space="0" w:color="auto"/>
            </w:tcBorders>
            <w:hideMark/>
          </w:tcPr>
          <w:p w14:paraId="360E8F20" w14:textId="77777777" w:rsidR="000E4CB7" w:rsidRDefault="000E4CB7" w:rsidP="00DB1686">
            <w:pPr>
              <w:spacing w:after="0"/>
              <w:rPr>
                <w:u w:val="single"/>
              </w:rPr>
            </w:pPr>
            <w:hyperlink r:id="rId9" w:anchor="RANGE!sectno-citation-4.2201" w:history="1">
              <w:r>
                <w:rPr>
                  <w:rStyle w:val="Hyperlink"/>
                </w:rPr>
                <w:t>4.2201 Definitions</w:t>
              </w:r>
            </w:hyperlink>
          </w:p>
        </w:tc>
        <w:tc>
          <w:tcPr>
            <w:tcW w:w="2087" w:type="dxa"/>
            <w:vMerge w:val="restart"/>
            <w:tcBorders>
              <w:top w:val="single" w:sz="4" w:space="0" w:color="auto"/>
              <w:left w:val="single" w:sz="4" w:space="0" w:color="auto"/>
              <w:bottom w:val="single" w:sz="4" w:space="0" w:color="auto"/>
              <w:right w:val="single" w:sz="4" w:space="0" w:color="auto"/>
            </w:tcBorders>
            <w:hideMark/>
          </w:tcPr>
          <w:p w14:paraId="679588CD" w14:textId="77777777" w:rsidR="000E4CB7" w:rsidRDefault="000E4CB7" w:rsidP="00DB1686">
            <w:pPr>
              <w:spacing w:after="0"/>
            </w:pPr>
            <w:r>
              <w:t>Scope of “use of equipment to a significant extent”</w:t>
            </w:r>
            <w:r>
              <w:br/>
            </w:r>
            <w:r>
              <w:br/>
              <w:t>Particularly in relation to personal devices taken into the workplace (BYOD policy update suggested).</w:t>
            </w:r>
          </w:p>
        </w:tc>
        <w:tc>
          <w:tcPr>
            <w:tcW w:w="5444" w:type="dxa"/>
            <w:vMerge w:val="restart"/>
            <w:tcBorders>
              <w:top w:val="single" w:sz="4" w:space="0" w:color="auto"/>
              <w:left w:val="single" w:sz="4" w:space="0" w:color="auto"/>
              <w:bottom w:val="single" w:sz="4" w:space="0" w:color="auto"/>
              <w:right w:val="single" w:sz="4" w:space="0" w:color="auto"/>
            </w:tcBorders>
            <w:hideMark/>
          </w:tcPr>
          <w:p w14:paraId="6EAE19EE" w14:textId="77777777" w:rsidR="000E4CB7" w:rsidRDefault="000E4CB7" w:rsidP="00DB1686">
            <w:pPr>
              <w:spacing w:after="0"/>
            </w:pPr>
            <w:r>
              <w:t xml:space="preserve">1) Scope and Definition of “use of that equipment to a significant extent in the performance of a service or the furnishing of a product.” </w:t>
            </w:r>
            <w:r>
              <w:br/>
              <w:t>Can the government please define and give an example of “use of equipment to a significant” extent?</w:t>
            </w:r>
            <w:r>
              <w:br/>
            </w:r>
            <w:r>
              <w:br/>
              <w:t>2) If a corporate wide ban is required, such that our network does not allow access, that may not cover the Guest or Cellular networks. It may not cover individual employees’ phones who have the app installed if their access was not through the Corp network. Thus, the question is whether that [the network ban] is enough to comply with the broad rule because this is removed from any information technology essentially in some way involved in performance of the federal contract.</w:t>
            </w:r>
            <w:r>
              <w:br/>
            </w:r>
            <w:r>
              <w:br/>
              <w:t>3) With respect to the impact to workplace BYOD programs, we add our concerns about the significant financial impact to small businesses if the rule will, in effect, require workplaces to discontinue the BYOD program and issue devices to employees.</w:t>
            </w:r>
            <w:r>
              <w:br/>
            </w:r>
            <w:r>
              <w:br/>
              <w:t>4) What constitutes the employee engagement in this regard: For example, if we have someone simply entering orders, but they have email on their phone, would they be subject to this?</w:t>
            </w:r>
            <w:r>
              <w:br/>
            </w:r>
            <w:r>
              <w:br/>
              <w:t>I’m not sure how to clarify the level of “working” on contracts.  We have a variety of departments that may “touch” as aspect of contracts such as IT (set up contracts in the system), Order Entry (enter purchase orders), Customer Care (answer questions on shipping, returns, products, etc.), Logistics (coordinating deliveries), etc.  We also of course have several sales team members that may be involved in a government project, but that doesn’t necessarily mean that confidential or specific information will come across their email as it may be more product based.</w:t>
            </w:r>
            <w:r>
              <w:br/>
            </w:r>
            <w:r>
              <w:br/>
              <w:t xml:space="preserve">5) TikTok servers were already blocked by our organization ahead of this rule taking effect.  However, this is the first time a contractual requirement has extended coverage to employee-owned personal technology.  As such, it was more challenging to manage user perception and change.  We thought it best to re-examine our organization’s Bring Your Own Device (BYOD) policy </w:t>
            </w:r>
            <w:proofErr w:type="gramStart"/>
            <w:r>
              <w:t>as a result of</w:t>
            </w:r>
            <w:proofErr w:type="gramEnd"/>
            <w:r>
              <w:t xml:space="preserve"> this change.</w:t>
            </w:r>
            <w:r>
              <w:br/>
            </w:r>
            <w:r>
              <w:br/>
              <w:t>Over the last decade, Apple has steadily taken steps to preserve user privacy.  These privacy decisions have yielded an operating system privacy architecture that has substantially reduced the visibility, reach, and control of our mobile device management (MDM) software where a personally owned device is concerned.  Implementation of this new requirement demonstrated that it is no longer possible for us to detect the presence of covered applications on personally owned Apple devices and have therefore fallen back to Rules of Behavior and other procedural controls.</w:t>
            </w:r>
          </w:p>
        </w:tc>
      </w:tr>
      <w:tr w:rsidR="000E4CB7" w14:paraId="6331BBA9" w14:textId="77777777" w:rsidTr="00DB1686">
        <w:trPr>
          <w:trHeight w:val="55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B38C" w14:textId="77777777" w:rsidR="000E4CB7" w:rsidRDefault="000E4CB7" w:rsidP="00DB1686">
            <w:pPr>
              <w:spacing w:after="0"/>
              <w:rPr>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DD4BA" w14:textId="77777777" w:rsidR="000E4CB7" w:rsidRDefault="000E4CB7" w:rsidP="00DB1686">
            <w:pPr>
              <w:spacing w:after="0"/>
            </w:pPr>
          </w:p>
        </w:tc>
        <w:tc>
          <w:tcPr>
            <w:tcW w:w="5444" w:type="dxa"/>
            <w:vMerge/>
            <w:tcBorders>
              <w:top w:val="single" w:sz="4" w:space="0" w:color="auto"/>
              <w:left w:val="single" w:sz="4" w:space="0" w:color="auto"/>
              <w:bottom w:val="single" w:sz="4" w:space="0" w:color="auto"/>
              <w:right w:val="single" w:sz="4" w:space="0" w:color="auto"/>
            </w:tcBorders>
            <w:vAlign w:val="center"/>
            <w:hideMark/>
          </w:tcPr>
          <w:p w14:paraId="5B36DFBA" w14:textId="77777777" w:rsidR="000E4CB7" w:rsidRDefault="000E4CB7" w:rsidP="00DB1686">
            <w:pPr>
              <w:spacing w:after="0"/>
            </w:pPr>
          </w:p>
        </w:tc>
      </w:tr>
      <w:tr w:rsidR="000E4CB7" w14:paraId="7614F5BA" w14:textId="77777777" w:rsidTr="00DB1686">
        <w:trPr>
          <w:trHeight w:val="81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91B1D" w14:textId="77777777" w:rsidR="000E4CB7" w:rsidRDefault="000E4CB7" w:rsidP="00DB1686">
            <w:pPr>
              <w:spacing w:after="0"/>
              <w:rPr>
                <w:u w:val="single"/>
              </w:rPr>
            </w:pPr>
          </w:p>
        </w:tc>
        <w:tc>
          <w:tcPr>
            <w:tcW w:w="2087" w:type="dxa"/>
            <w:vMerge w:val="restart"/>
            <w:tcBorders>
              <w:top w:val="single" w:sz="4" w:space="0" w:color="auto"/>
              <w:left w:val="single" w:sz="4" w:space="0" w:color="auto"/>
              <w:bottom w:val="single" w:sz="4" w:space="0" w:color="auto"/>
              <w:right w:val="single" w:sz="4" w:space="0" w:color="auto"/>
            </w:tcBorders>
            <w:hideMark/>
          </w:tcPr>
          <w:p w14:paraId="4091DD69" w14:textId="77777777" w:rsidR="000E4CB7" w:rsidRDefault="000E4CB7" w:rsidP="00DB1686">
            <w:pPr>
              <w:spacing w:after="0"/>
            </w:pPr>
            <w:r>
              <w:t>Do secure containers meet the rule’s requirements?</w:t>
            </w:r>
          </w:p>
        </w:tc>
        <w:tc>
          <w:tcPr>
            <w:tcW w:w="5444" w:type="dxa"/>
            <w:vMerge w:val="restart"/>
            <w:tcBorders>
              <w:top w:val="single" w:sz="4" w:space="0" w:color="auto"/>
              <w:left w:val="single" w:sz="4" w:space="0" w:color="auto"/>
              <w:bottom w:val="single" w:sz="4" w:space="0" w:color="auto"/>
              <w:right w:val="single" w:sz="4" w:space="0" w:color="auto"/>
            </w:tcBorders>
            <w:hideMark/>
          </w:tcPr>
          <w:p w14:paraId="36E7CFA0" w14:textId="77777777" w:rsidR="000E4CB7" w:rsidRDefault="000E4CB7" w:rsidP="00DB1686">
            <w:pPr>
              <w:spacing w:after="0"/>
            </w:pPr>
            <w:r>
              <w:t>1) We have employees that use their personal phones to check email, take calls and attend video conferences.  Our technology runs in a secure container designed to keep the company apps and data separate from the apps and data on the phone.   Is there any consideration being given to rewording this to allow for a logical separation on the device?</w:t>
            </w:r>
            <w:r>
              <w:br/>
            </w:r>
            <w:r>
              <w:br/>
              <w:t xml:space="preserve">2) Will the Government give any consideration to technical solutions. Many companies allow personally owned cell phones (bring your own device) to use the company managed applications, which would be used in the support process, in a secured container that separates the employee’s personal data from the company’s information.  This solution is more aligned with employment laws and freedom of choice, which our employees should be entitled to until a decision is made to outlaw TikTok. </w:t>
            </w:r>
            <w:r>
              <w:br/>
            </w:r>
            <w:r>
              <w:br/>
              <w:t xml:space="preserve">A containerized environment is not unreasonable and would meet the requirement to keep TikTok </w:t>
            </w:r>
            <w:proofErr w:type="gramStart"/>
            <w:r>
              <w:t>separated</w:t>
            </w:r>
            <w:proofErr w:type="gramEnd"/>
            <w:r>
              <w:t>.  If the Government takes this ban to a certification requirement of policing employee devices this would place an unreasonable financial burden on federal contractors.</w:t>
            </w:r>
            <w:r>
              <w:br/>
            </w:r>
            <w:r>
              <w:br/>
              <w:t xml:space="preserve">3) Will the government permit the use of Master Data Management (MDM) solutions to secure government data on personal devices used in the performance of government contracts that also access </w:t>
            </w:r>
            <w:proofErr w:type="spellStart"/>
            <w:r>
              <w:t>Tiktok</w:t>
            </w:r>
            <w:proofErr w:type="spellEnd"/>
            <w:r>
              <w:t>?</w:t>
            </w:r>
            <w:r>
              <w:br/>
            </w:r>
            <w:r>
              <w:br/>
              <w:t>4) If a cellphone is logically separated using software (e.g., Intune), will this logical separation suffice to adhere to the TikTok prohibition?</w:t>
            </w:r>
            <w:r>
              <w:br/>
            </w:r>
            <w:r>
              <w:br/>
              <w:t>5) We’re very concerned about the scope and what’s considered “in performance of a contract.”  The BYOD piece of this is a huge piece of the puzzle.  It’s not clear from the write up if we’re ok to have Tik Tok on the personal device if it’s containerized in such a way that it’s unable to touch any of the work-oriented apps/partition of the phone.  I’m almost scared of asking the question as I don’t want the answer to be “no</w:t>
            </w:r>
            <w:proofErr w:type="gramStart"/>
            <w:r>
              <w:t>”</w:t>
            </w:r>
            <w:proofErr w:type="gramEnd"/>
            <w:r>
              <w:t xml:space="preserve"> but it is a huge piece of this for most companies</w:t>
            </w:r>
          </w:p>
        </w:tc>
      </w:tr>
      <w:tr w:rsidR="000E4CB7" w14:paraId="0B2AE07C" w14:textId="77777777" w:rsidTr="00DB1686">
        <w:trPr>
          <w:trHeight w:val="1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3E126" w14:textId="77777777" w:rsidR="000E4CB7" w:rsidRDefault="000E4CB7" w:rsidP="00DB1686">
            <w:pPr>
              <w:spacing w:after="0"/>
              <w:rPr>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13CF5" w14:textId="77777777" w:rsidR="000E4CB7" w:rsidRDefault="000E4CB7" w:rsidP="00DB1686">
            <w:pPr>
              <w:spacing w:after="0"/>
            </w:pPr>
          </w:p>
        </w:tc>
        <w:tc>
          <w:tcPr>
            <w:tcW w:w="5444" w:type="dxa"/>
            <w:vMerge/>
            <w:tcBorders>
              <w:top w:val="single" w:sz="4" w:space="0" w:color="auto"/>
              <w:left w:val="single" w:sz="4" w:space="0" w:color="auto"/>
              <w:bottom w:val="single" w:sz="4" w:space="0" w:color="auto"/>
              <w:right w:val="single" w:sz="4" w:space="0" w:color="auto"/>
            </w:tcBorders>
            <w:vAlign w:val="center"/>
            <w:hideMark/>
          </w:tcPr>
          <w:p w14:paraId="6D0C47C9" w14:textId="77777777" w:rsidR="000E4CB7" w:rsidRDefault="000E4CB7" w:rsidP="00DB1686">
            <w:pPr>
              <w:spacing w:after="0"/>
            </w:pPr>
          </w:p>
        </w:tc>
      </w:tr>
      <w:tr w:rsidR="000E4CB7" w14:paraId="63D96877" w14:textId="77777777" w:rsidTr="00DB1686">
        <w:trPr>
          <w:trHeight w:val="1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2AF45" w14:textId="77777777" w:rsidR="000E4CB7" w:rsidRDefault="000E4CB7" w:rsidP="00DB1686">
            <w:pPr>
              <w:spacing w:after="0"/>
              <w:rPr>
                <w:u w:val="single"/>
              </w:rPr>
            </w:pPr>
          </w:p>
        </w:tc>
        <w:tc>
          <w:tcPr>
            <w:tcW w:w="2087" w:type="dxa"/>
            <w:tcBorders>
              <w:top w:val="single" w:sz="4" w:space="0" w:color="auto"/>
              <w:left w:val="single" w:sz="4" w:space="0" w:color="auto"/>
              <w:bottom w:val="single" w:sz="4" w:space="0" w:color="auto"/>
              <w:right w:val="single" w:sz="4" w:space="0" w:color="auto"/>
            </w:tcBorders>
            <w:hideMark/>
          </w:tcPr>
          <w:p w14:paraId="273AA2B7" w14:textId="77777777" w:rsidR="000E4CB7" w:rsidRDefault="000E4CB7" w:rsidP="00DB1686">
            <w:pPr>
              <w:spacing w:after="0"/>
            </w:pPr>
            <w:r>
              <w:t>Are non-contracting employees exempt even on the same network?</w:t>
            </w:r>
          </w:p>
        </w:tc>
        <w:tc>
          <w:tcPr>
            <w:tcW w:w="5444" w:type="dxa"/>
            <w:tcBorders>
              <w:top w:val="single" w:sz="4" w:space="0" w:color="auto"/>
              <w:left w:val="single" w:sz="4" w:space="0" w:color="auto"/>
              <w:bottom w:val="single" w:sz="4" w:space="0" w:color="auto"/>
              <w:right w:val="single" w:sz="4" w:space="0" w:color="auto"/>
            </w:tcBorders>
            <w:hideMark/>
          </w:tcPr>
          <w:p w14:paraId="0F81063F" w14:textId="77777777" w:rsidR="000E4CB7" w:rsidRDefault="000E4CB7" w:rsidP="00DB1686">
            <w:pPr>
              <w:spacing w:after="0"/>
            </w:pPr>
            <w:r>
              <w:t xml:space="preserve">1) If an employee who does not work on covered government contracts connects to the contractor’s </w:t>
            </w:r>
            <w:proofErr w:type="spellStart"/>
            <w:r>
              <w:t>wifi</w:t>
            </w:r>
            <w:proofErr w:type="spellEnd"/>
            <w:r>
              <w:t xml:space="preserve"> on a device that includes TikTok, will that trigger a violation of the rule </w:t>
            </w:r>
            <w:proofErr w:type="gramStart"/>
            <w:r>
              <w:t>assuming that</w:t>
            </w:r>
            <w:proofErr w:type="gramEnd"/>
            <w:r>
              <w:t xml:space="preserve"> other employees who do perform on covered government contracts connect to the same </w:t>
            </w:r>
            <w:proofErr w:type="spellStart"/>
            <w:r>
              <w:t>wifi</w:t>
            </w:r>
            <w:proofErr w:type="spellEnd"/>
            <w:r>
              <w:t>?</w:t>
            </w:r>
          </w:p>
        </w:tc>
      </w:tr>
      <w:tr w:rsidR="000E4CB7" w14:paraId="6A5C257A" w14:textId="77777777" w:rsidTr="00DB1686">
        <w:trPr>
          <w:trHeight w:val="27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9854F" w14:textId="77777777" w:rsidR="000E4CB7" w:rsidRDefault="000E4CB7" w:rsidP="00DB1686">
            <w:pPr>
              <w:spacing w:after="0"/>
              <w:rPr>
                <w:u w:val="single"/>
              </w:rPr>
            </w:pPr>
          </w:p>
        </w:tc>
        <w:tc>
          <w:tcPr>
            <w:tcW w:w="2087" w:type="dxa"/>
            <w:tcBorders>
              <w:top w:val="single" w:sz="4" w:space="0" w:color="auto"/>
              <w:left w:val="single" w:sz="4" w:space="0" w:color="auto"/>
              <w:bottom w:val="single" w:sz="4" w:space="0" w:color="auto"/>
              <w:right w:val="single" w:sz="4" w:space="0" w:color="auto"/>
            </w:tcBorders>
            <w:hideMark/>
          </w:tcPr>
          <w:p w14:paraId="04CBE6A5" w14:textId="77777777" w:rsidR="000E4CB7" w:rsidRDefault="000E4CB7" w:rsidP="00DB1686">
            <w:pPr>
              <w:spacing w:after="0"/>
            </w:pPr>
            <w:r>
              <w:t xml:space="preserve">What is the </w:t>
            </w:r>
            <w:proofErr w:type="gramStart"/>
            <w:r>
              <w:t>Technical</w:t>
            </w:r>
            <w:proofErr w:type="gramEnd"/>
            <w:r>
              <w:t xml:space="preserve"> standard for compliance?</w:t>
            </w:r>
          </w:p>
        </w:tc>
        <w:tc>
          <w:tcPr>
            <w:tcW w:w="5444" w:type="dxa"/>
            <w:tcBorders>
              <w:top w:val="single" w:sz="4" w:space="0" w:color="auto"/>
              <w:left w:val="single" w:sz="4" w:space="0" w:color="auto"/>
              <w:bottom w:val="single" w:sz="4" w:space="0" w:color="auto"/>
              <w:right w:val="single" w:sz="4" w:space="0" w:color="auto"/>
            </w:tcBorders>
            <w:hideMark/>
          </w:tcPr>
          <w:p w14:paraId="1D5BEB3C" w14:textId="77777777" w:rsidR="000E4CB7" w:rsidRDefault="000E4CB7" w:rsidP="00DB1686">
            <w:pPr>
              <w:spacing w:after="0"/>
            </w:pPr>
            <w:r>
              <w:t>1) Please provide information on an acceptable standard from a technical perspective to achieving compliance with the rule.</w:t>
            </w:r>
            <w:r>
              <w:br/>
            </w:r>
            <w:r>
              <w:br/>
              <w:t xml:space="preserve">2) We request additional information on the technical guidelines to comply with the rule.  Specifically, is it sufficient for contractors to block the app via policy on personal devices that are enrolled in </w:t>
            </w:r>
            <w:proofErr w:type="spellStart"/>
            <w:r>
              <w:t>inTune</w:t>
            </w:r>
            <w:proofErr w:type="spellEnd"/>
            <w:r>
              <w:t>?  Are there other standards or guidelines that contractors should be aware of that would suffice?</w:t>
            </w:r>
          </w:p>
        </w:tc>
      </w:tr>
      <w:tr w:rsidR="000E4CB7" w14:paraId="0F97D746" w14:textId="77777777" w:rsidTr="00DB1686">
        <w:trPr>
          <w:trHeight w:val="2030"/>
        </w:trPr>
        <w:tc>
          <w:tcPr>
            <w:tcW w:w="2274" w:type="dxa"/>
            <w:tcBorders>
              <w:top w:val="single" w:sz="4" w:space="0" w:color="auto"/>
              <w:left w:val="single" w:sz="4" w:space="0" w:color="auto"/>
              <w:bottom w:val="single" w:sz="4" w:space="0" w:color="auto"/>
              <w:right w:val="single" w:sz="4" w:space="0" w:color="auto"/>
            </w:tcBorders>
            <w:hideMark/>
          </w:tcPr>
          <w:p w14:paraId="6C169A80" w14:textId="77777777" w:rsidR="000E4CB7" w:rsidRDefault="000E4CB7" w:rsidP="00DB1686">
            <w:pPr>
              <w:spacing w:after="0"/>
            </w:pPr>
            <w:r>
              <w:t>52.204–27 (c) Subcontracts.</w:t>
            </w:r>
          </w:p>
        </w:tc>
        <w:tc>
          <w:tcPr>
            <w:tcW w:w="2087" w:type="dxa"/>
            <w:tcBorders>
              <w:top w:val="single" w:sz="4" w:space="0" w:color="auto"/>
              <w:left w:val="single" w:sz="4" w:space="0" w:color="auto"/>
              <w:bottom w:val="single" w:sz="4" w:space="0" w:color="auto"/>
              <w:right w:val="single" w:sz="4" w:space="0" w:color="auto"/>
            </w:tcBorders>
            <w:hideMark/>
          </w:tcPr>
          <w:p w14:paraId="3A3210E5" w14:textId="77777777" w:rsidR="000E4CB7" w:rsidRDefault="000E4CB7" w:rsidP="00DB1686">
            <w:pPr>
              <w:spacing w:after="0"/>
            </w:pPr>
            <w:r>
              <w:t>Does the requirement flow down to authorized dealers (not subcontractors) if a contractor works closely with them?</w:t>
            </w:r>
          </w:p>
        </w:tc>
        <w:tc>
          <w:tcPr>
            <w:tcW w:w="5444" w:type="dxa"/>
            <w:tcBorders>
              <w:top w:val="single" w:sz="4" w:space="0" w:color="auto"/>
              <w:left w:val="single" w:sz="4" w:space="0" w:color="auto"/>
              <w:bottom w:val="single" w:sz="4" w:space="0" w:color="auto"/>
              <w:right w:val="single" w:sz="4" w:space="0" w:color="auto"/>
            </w:tcBorders>
            <w:hideMark/>
          </w:tcPr>
          <w:p w14:paraId="2DBEE65A" w14:textId="77777777" w:rsidR="000E4CB7" w:rsidRDefault="000E4CB7" w:rsidP="00DB1686">
            <w:pPr>
              <w:spacing w:after="0"/>
            </w:pPr>
            <w:r>
              <w:t>1) We work with a network of authorized dealers.  Since those dealers work on projects with us (almost as subcontractors) to support government purchasers, would this be expected to flow down to them?</w:t>
            </w:r>
            <w:r>
              <w:br/>
            </w:r>
            <w:r>
              <w:br/>
              <w:t>Since we don’t employ them, how are we expected to enforce and monitor this?</w:t>
            </w:r>
          </w:p>
        </w:tc>
      </w:tr>
      <w:tr w:rsidR="000E4CB7" w14:paraId="10B4193D" w14:textId="77777777" w:rsidTr="00DB1686">
        <w:trPr>
          <w:trHeight w:val="6200"/>
        </w:trPr>
        <w:tc>
          <w:tcPr>
            <w:tcW w:w="2274" w:type="dxa"/>
            <w:vMerge w:val="restart"/>
            <w:tcBorders>
              <w:top w:val="single" w:sz="4" w:space="0" w:color="auto"/>
              <w:left w:val="single" w:sz="4" w:space="0" w:color="auto"/>
              <w:bottom w:val="single" w:sz="4" w:space="0" w:color="auto"/>
              <w:right w:val="single" w:sz="4" w:space="0" w:color="auto"/>
            </w:tcBorders>
            <w:hideMark/>
          </w:tcPr>
          <w:p w14:paraId="4F2A6455" w14:textId="77777777" w:rsidR="000E4CB7" w:rsidRDefault="000E4CB7" w:rsidP="00DB1686">
            <w:pPr>
              <w:spacing w:after="0"/>
            </w:pPr>
            <w:r>
              <w:t>IV. Expected Impact of the Rule</w:t>
            </w:r>
          </w:p>
        </w:tc>
        <w:tc>
          <w:tcPr>
            <w:tcW w:w="2087" w:type="dxa"/>
            <w:tcBorders>
              <w:top w:val="single" w:sz="4" w:space="0" w:color="auto"/>
              <w:left w:val="single" w:sz="4" w:space="0" w:color="auto"/>
              <w:bottom w:val="single" w:sz="4" w:space="0" w:color="auto"/>
              <w:right w:val="single" w:sz="4" w:space="0" w:color="auto"/>
            </w:tcBorders>
            <w:hideMark/>
          </w:tcPr>
          <w:p w14:paraId="2857EACB" w14:textId="77777777" w:rsidR="000E4CB7" w:rsidRDefault="000E4CB7" w:rsidP="00DB1686">
            <w:pPr>
              <w:spacing w:after="0"/>
            </w:pPr>
            <w:r>
              <w:t>Does accessing a Tik Tok URL violate the new rule (is checking the URL equate to checking the app)?</w:t>
            </w:r>
            <w:r>
              <w:br/>
            </w:r>
            <w:r>
              <w:br/>
              <w:t xml:space="preserve">NOTE: Other people can send contractors </w:t>
            </w:r>
            <w:proofErr w:type="spellStart"/>
            <w:r>
              <w:t>TikToks</w:t>
            </w:r>
            <w:proofErr w:type="spellEnd"/>
            <w:r>
              <w:t>, adding to this concern</w:t>
            </w:r>
          </w:p>
        </w:tc>
        <w:tc>
          <w:tcPr>
            <w:tcW w:w="5444" w:type="dxa"/>
            <w:tcBorders>
              <w:top w:val="single" w:sz="4" w:space="0" w:color="auto"/>
              <w:left w:val="single" w:sz="4" w:space="0" w:color="auto"/>
              <w:bottom w:val="single" w:sz="4" w:space="0" w:color="auto"/>
              <w:right w:val="single" w:sz="4" w:space="0" w:color="auto"/>
            </w:tcBorders>
            <w:hideMark/>
          </w:tcPr>
          <w:p w14:paraId="4FD74663" w14:textId="77777777" w:rsidR="000E4CB7" w:rsidRDefault="000E4CB7" w:rsidP="00DB1686">
            <w:pPr>
              <w:spacing w:after="0"/>
            </w:pPr>
            <w:r>
              <w:t>1) Question/Comment: A device can be void of covered applications and still have the presence of a TikTok associated URL; can the government please clarify if the very presence of a TikTok associated URL is included in this prohibition? If TikTok associated URLs are prohibited, please describe the implications of this rule on BYOD programs and the acceptable protocol contractors should follow to comply.</w:t>
            </w:r>
            <w:r>
              <w:br/>
            </w:r>
            <w:r>
              <w:br/>
              <w:t xml:space="preserve">2) Does the “use” of TikTok extend to situations where a </w:t>
            </w:r>
            <w:proofErr w:type="gramStart"/>
            <w:r>
              <w:t>Federal</w:t>
            </w:r>
            <w:proofErr w:type="gramEnd"/>
            <w:r>
              <w:t xml:space="preserve"> contractor receives a TikTok via text or other electronic communication. Specifically, if you have a personally owned cellphone that you use to check messages or communicate about the contract and you do not have the TikTok app downloaded, would you be considered non-compliant if a family member or friend texted you a TikTok video? If that sort of scenario would fall within the category of “using” TikTok, </w:t>
            </w:r>
            <w:proofErr w:type="gramStart"/>
            <w:r>
              <w:t>it would seem that the</w:t>
            </w:r>
            <w:proofErr w:type="gramEnd"/>
            <w:r>
              <w:t xml:space="preserve"> ban, as currently structured, would effectively require companies to provide employees that are connected with the contract with work phones to help ensure compliance. Otherwise, you are really </w:t>
            </w:r>
            <w:proofErr w:type="gramStart"/>
            <w:r>
              <w:t>at</w:t>
            </w:r>
            <w:proofErr w:type="gramEnd"/>
            <w:r>
              <w:t xml:space="preserve"> the whims of whoever your employee might communicate with in their personal lives. For companies who currently have bring your own device programs, especially small businesses, transitioning could be </w:t>
            </w:r>
            <w:proofErr w:type="gramStart"/>
            <w:r>
              <w:t>pretty costly</w:t>
            </w:r>
            <w:proofErr w:type="gramEnd"/>
            <w:r>
              <w:t xml:space="preserve"> to implement and maintain.</w:t>
            </w:r>
          </w:p>
        </w:tc>
      </w:tr>
      <w:tr w:rsidR="000E4CB7" w14:paraId="17CB345F" w14:textId="77777777" w:rsidTr="00DB1686">
        <w:trPr>
          <w:trHeight w:val="20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8E165" w14:textId="77777777" w:rsidR="000E4CB7" w:rsidRDefault="000E4CB7" w:rsidP="00DB1686">
            <w:pPr>
              <w:spacing w:after="0"/>
            </w:pPr>
          </w:p>
        </w:tc>
        <w:tc>
          <w:tcPr>
            <w:tcW w:w="2087" w:type="dxa"/>
            <w:tcBorders>
              <w:top w:val="single" w:sz="4" w:space="0" w:color="auto"/>
              <w:left w:val="single" w:sz="4" w:space="0" w:color="auto"/>
              <w:bottom w:val="single" w:sz="4" w:space="0" w:color="auto"/>
              <w:right w:val="single" w:sz="4" w:space="0" w:color="auto"/>
            </w:tcBorders>
            <w:hideMark/>
          </w:tcPr>
          <w:p w14:paraId="692BCE49" w14:textId="77777777" w:rsidR="000E4CB7" w:rsidRDefault="000E4CB7" w:rsidP="00DB1686">
            <w:pPr>
              <w:spacing w:after="0"/>
            </w:pPr>
            <w:r>
              <w:t>Does familial Tik Tok use while working from home (presumably on the same network) violate the rule?</w:t>
            </w:r>
          </w:p>
        </w:tc>
        <w:tc>
          <w:tcPr>
            <w:tcW w:w="5444" w:type="dxa"/>
            <w:tcBorders>
              <w:top w:val="single" w:sz="4" w:space="0" w:color="auto"/>
              <w:left w:val="single" w:sz="4" w:space="0" w:color="auto"/>
              <w:bottom w:val="single" w:sz="4" w:space="0" w:color="auto"/>
              <w:right w:val="single" w:sz="4" w:space="0" w:color="auto"/>
            </w:tcBorders>
            <w:hideMark/>
          </w:tcPr>
          <w:p w14:paraId="5095A441" w14:textId="77777777" w:rsidR="000E4CB7" w:rsidRDefault="000E4CB7" w:rsidP="00DB1686">
            <w:pPr>
              <w:spacing w:after="0"/>
            </w:pPr>
            <w:r>
              <w:t>1) With the increase in remote work, if an individual works remotely while providing services, and if a family member uses TikTok at the same location, will this run afoul of the prohibition?</w:t>
            </w:r>
          </w:p>
        </w:tc>
      </w:tr>
      <w:tr w:rsidR="000E4CB7" w14:paraId="68F29162" w14:textId="77777777" w:rsidTr="00DB1686">
        <w:trPr>
          <w:trHeight w:val="2070"/>
        </w:trPr>
        <w:tc>
          <w:tcPr>
            <w:tcW w:w="2274" w:type="dxa"/>
            <w:tcBorders>
              <w:top w:val="single" w:sz="4" w:space="0" w:color="auto"/>
              <w:left w:val="single" w:sz="4" w:space="0" w:color="auto"/>
              <w:bottom w:val="single" w:sz="4" w:space="0" w:color="auto"/>
              <w:right w:val="single" w:sz="4" w:space="0" w:color="auto"/>
            </w:tcBorders>
            <w:noWrap/>
            <w:hideMark/>
          </w:tcPr>
          <w:p w14:paraId="69A4E36C" w14:textId="77777777" w:rsidR="000E4CB7" w:rsidRDefault="000E4CB7" w:rsidP="00DB1686"/>
        </w:tc>
        <w:tc>
          <w:tcPr>
            <w:tcW w:w="2087" w:type="dxa"/>
            <w:tcBorders>
              <w:top w:val="single" w:sz="4" w:space="0" w:color="auto"/>
              <w:left w:val="single" w:sz="4" w:space="0" w:color="auto"/>
              <w:bottom w:val="single" w:sz="4" w:space="0" w:color="auto"/>
              <w:right w:val="single" w:sz="4" w:space="0" w:color="auto"/>
            </w:tcBorders>
            <w:hideMark/>
          </w:tcPr>
          <w:p w14:paraId="75B587F0" w14:textId="77777777" w:rsidR="000E4CB7" w:rsidRDefault="000E4CB7" w:rsidP="00DB1686">
            <w:pPr>
              <w:spacing w:after="0"/>
            </w:pPr>
            <w:r>
              <w:t>Does “diligently and continually working towards compliance” meet the rules requirement for the foreseeable future?</w:t>
            </w:r>
          </w:p>
        </w:tc>
        <w:tc>
          <w:tcPr>
            <w:tcW w:w="5444" w:type="dxa"/>
            <w:tcBorders>
              <w:top w:val="single" w:sz="4" w:space="0" w:color="auto"/>
              <w:left w:val="single" w:sz="4" w:space="0" w:color="auto"/>
              <w:bottom w:val="single" w:sz="4" w:space="0" w:color="auto"/>
              <w:right w:val="single" w:sz="4" w:space="0" w:color="auto"/>
            </w:tcBorders>
            <w:hideMark/>
          </w:tcPr>
          <w:p w14:paraId="502CFCFF" w14:textId="77777777" w:rsidR="000E4CB7" w:rsidRDefault="000E4CB7" w:rsidP="00DB1686">
            <w:pPr>
              <w:spacing w:after="0"/>
            </w:pPr>
            <w:r>
              <w:t xml:space="preserve">1) Since there is no timeline on when federal contractors are required to be compliant with the </w:t>
            </w:r>
            <w:proofErr w:type="spellStart"/>
            <w:r>
              <w:t>ByteDance</w:t>
            </w:r>
            <w:proofErr w:type="spellEnd"/>
            <w:r>
              <w:t xml:space="preserve"> Clause, please confirm a federal contractor may continue to contract with the U.S. Government if that federal contractor is diligently and continuously working towards compliance.</w:t>
            </w:r>
          </w:p>
        </w:tc>
      </w:tr>
      <w:tr w:rsidR="000E4CB7" w14:paraId="529EA1B0" w14:textId="77777777" w:rsidTr="00DB1686">
        <w:trPr>
          <w:trHeight w:val="2780"/>
        </w:trPr>
        <w:tc>
          <w:tcPr>
            <w:tcW w:w="2274" w:type="dxa"/>
            <w:tcBorders>
              <w:top w:val="single" w:sz="4" w:space="0" w:color="auto"/>
              <w:left w:val="single" w:sz="4" w:space="0" w:color="auto"/>
              <w:bottom w:val="single" w:sz="4" w:space="0" w:color="auto"/>
              <w:right w:val="single" w:sz="4" w:space="0" w:color="auto"/>
            </w:tcBorders>
            <w:noWrap/>
            <w:hideMark/>
          </w:tcPr>
          <w:p w14:paraId="3CC05922" w14:textId="77777777" w:rsidR="000E4CB7" w:rsidRDefault="000E4CB7" w:rsidP="00DB1686"/>
        </w:tc>
        <w:tc>
          <w:tcPr>
            <w:tcW w:w="2087" w:type="dxa"/>
            <w:tcBorders>
              <w:top w:val="single" w:sz="4" w:space="0" w:color="auto"/>
              <w:left w:val="single" w:sz="4" w:space="0" w:color="auto"/>
              <w:bottom w:val="single" w:sz="4" w:space="0" w:color="auto"/>
              <w:right w:val="single" w:sz="4" w:space="0" w:color="auto"/>
            </w:tcBorders>
            <w:hideMark/>
          </w:tcPr>
          <w:p w14:paraId="3A2842D8" w14:textId="77777777" w:rsidR="000E4CB7" w:rsidRDefault="000E4CB7" w:rsidP="00DB1686">
            <w:pPr>
              <w:spacing w:after="0"/>
            </w:pPr>
            <w:r>
              <w:t>General request for education on the issue and how to comply.</w:t>
            </w:r>
          </w:p>
        </w:tc>
        <w:tc>
          <w:tcPr>
            <w:tcW w:w="5444" w:type="dxa"/>
            <w:tcBorders>
              <w:top w:val="single" w:sz="4" w:space="0" w:color="auto"/>
              <w:left w:val="single" w:sz="4" w:space="0" w:color="auto"/>
              <w:bottom w:val="single" w:sz="4" w:space="0" w:color="auto"/>
              <w:right w:val="single" w:sz="4" w:space="0" w:color="auto"/>
            </w:tcBorders>
            <w:hideMark/>
          </w:tcPr>
          <w:p w14:paraId="35993BF9" w14:textId="77777777" w:rsidR="000E4CB7" w:rsidRDefault="000E4CB7" w:rsidP="00DB1686">
            <w:pPr>
              <w:spacing w:after="0"/>
            </w:pPr>
            <w:r>
              <w:t xml:space="preserve">One thing we would like to see the associations push hard on is the need for education.  The Government doesn’t do a lot to say why Tik Tok is bad.  If the Govt could share an education campaign about the dangers of Tik Tok with industry, that would be helpful to us in educating our employees and suppliers without worrying about crossing lines ourselves.  Likewise, if the Government could publish some </w:t>
            </w:r>
            <w:proofErr w:type="spellStart"/>
            <w:r>
              <w:t>FaQs</w:t>
            </w:r>
            <w:proofErr w:type="spellEnd"/>
            <w:r>
              <w:t xml:space="preserve"> or guidance on how they are implementing this internally on government employees’ personal phones and/or best practices in implementation, that would also be helpful.  </w:t>
            </w:r>
          </w:p>
        </w:tc>
      </w:tr>
      <w:tr w:rsidR="000E4CB7" w14:paraId="395B4313" w14:textId="77777777" w:rsidTr="00DB1686">
        <w:trPr>
          <w:trHeight w:val="5100"/>
        </w:trPr>
        <w:tc>
          <w:tcPr>
            <w:tcW w:w="2274" w:type="dxa"/>
            <w:tcBorders>
              <w:top w:val="single" w:sz="4" w:space="0" w:color="auto"/>
              <w:left w:val="single" w:sz="4" w:space="0" w:color="auto"/>
              <w:bottom w:val="single" w:sz="4" w:space="0" w:color="auto"/>
              <w:right w:val="single" w:sz="4" w:space="0" w:color="auto"/>
            </w:tcBorders>
            <w:noWrap/>
            <w:hideMark/>
          </w:tcPr>
          <w:p w14:paraId="2AADBBCC" w14:textId="77777777" w:rsidR="000E4CB7" w:rsidRDefault="000E4CB7" w:rsidP="00DB1686"/>
        </w:tc>
        <w:tc>
          <w:tcPr>
            <w:tcW w:w="2087" w:type="dxa"/>
            <w:tcBorders>
              <w:top w:val="single" w:sz="4" w:space="0" w:color="auto"/>
              <w:left w:val="single" w:sz="4" w:space="0" w:color="auto"/>
              <w:bottom w:val="single" w:sz="4" w:space="0" w:color="auto"/>
              <w:right w:val="single" w:sz="4" w:space="0" w:color="auto"/>
            </w:tcBorders>
            <w:hideMark/>
          </w:tcPr>
          <w:p w14:paraId="660A594C" w14:textId="77777777" w:rsidR="000E4CB7" w:rsidRDefault="000E4CB7" w:rsidP="00DB1686">
            <w:pPr>
              <w:spacing w:after="0"/>
            </w:pPr>
            <w:r>
              <w:t xml:space="preserve">Can we suggest a reasonable inquiry clause? </w:t>
            </w:r>
          </w:p>
        </w:tc>
        <w:tc>
          <w:tcPr>
            <w:tcW w:w="5444" w:type="dxa"/>
            <w:tcBorders>
              <w:top w:val="single" w:sz="4" w:space="0" w:color="auto"/>
              <w:left w:val="single" w:sz="4" w:space="0" w:color="auto"/>
              <w:bottom w:val="single" w:sz="4" w:space="0" w:color="auto"/>
              <w:right w:val="single" w:sz="4" w:space="0" w:color="auto"/>
            </w:tcBorders>
            <w:hideMark/>
          </w:tcPr>
          <w:p w14:paraId="3610B0CC" w14:textId="77777777" w:rsidR="000E4CB7" w:rsidRDefault="000E4CB7" w:rsidP="00DB1686">
            <w:pPr>
              <w:spacing w:after="0"/>
            </w:pPr>
            <w:r>
              <w:t>We suggest an addition within the rule for a reasonable inquiry / effort clause similar to what is included in FAR 52.204-25</w:t>
            </w:r>
            <w:r>
              <w:br/>
            </w:r>
            <w:r>
              <w:br/>
              <w:t>“Reasonable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w:t>
            </w:r>
            <w:r>
              <w:br/>
            </w:r>
            <w:r>
              <w:br/>
              <w:t xml:space="preserve">Companies can only do so much, block computers on their network from accessing certain websites and block devices from downloading applications. However, they have less control for blocking cell phones from visiting websites when browsing or control over folks’ personal devices </w:t>
            </w:r>
            <w:proofErr w:type="gramStart"/>
            <w:r>
              <w:t>with regard to</w:t>
            </w:r>
            <w:proofErr w:type="gramEnd"/>
            <w:r>
              <w:t xml:space="preserve"> BYOD.</w:t>
            </w:r>
            <w:r>
              <w:br/>
            </w:r>
            <w:r>
              <w:br/>
              <w:t>2) A reasonable inquiry / effort should be expected but the FAR should not punish companies for actions that are outside of their controls.</w:t>
            </w:r>
          </w:p>
        </w:tc>
      </w:tr>
    </w:tbl>
    <w:p w14:paraId="0E81921A" w14:textId="77777777" w:rsidR="001B39A7" w:rsidRPr="007D554C" w:rsidRDefault="001B39A7" w:rsidP="001B39A7">
      <w:pPr>
        <w:spacing w:before="0" w:beforeAutospacing="0"/>
        <w:ind w:left="-360"/>
      </w:pPr>
    </w:p>
    <w:sectPr w:rsidR="001B39A7" w:rsidRPr="007D554C">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30A8" w14:textId="77777777" w:rsidR="00860049" w:rsidRDefault="00860049" w:rsidP="002873D1">
      <w:pPr>
        <w:spacing w:before="0" w:after="0"/>
      </w:pPr>
      <w:r>
        <w:separator/>
      </w:r>
    </w:p>
  </w:endnote>
  <w:endnote w:type="continuationSeparator" w:id="0">
    <w:p w14:paraId="44F31FBE" w14:textId="77777777" w:rsidR="00860049" w:rsidRDefault="00860049" w:rsidP="002873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072604"/>
      <w:docPartObj>
        <w:docPartGallery w:val="Page Numbers (Bottom of Page)"/>
        <w:docPartUnique/>
      </w:docPartObj>
    </w:sdtPr>
    <w:sdtEndPr>
      <w:rPr>
        <w:noProof/>
      </w:rPr>
    </w:sdtEndPr>
    <w:sdtContent>
      <w:p w14:paraId="70A3299D" w14:textId="5B334677" w:rsidR="002648DA" w:rsidRDefault="002648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03A1F" w14:textId="77777777" w:rsidR="003E0E9B" w:rsidRDefault="003E0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CD29" w14:textId="77777777" w:rsidR="00860049" w:rsidRDefault="00860049" w:rsidP="002873D1">
      <w:pPr>
        <w:spacing w:before="0" w:after="0"/>
      </w:pPr>
      <w:r>
        <w:separator/>
      </w:r>
    </w:p>
  </w:footnote>
  <w:footnote w:type="continuationSeparator" w:id="0">
    <w:p w14:paraId="5B80CE06" w14:textId="77777777" w:rsidR="00860049" w:rsidRDefault="00860049" w:rsidP="002873D1">
      <w:pPr>
        <w:spacing w:before="0" w:after="0"/>
      </w:pPr>
      <w:r>
        <w:continuationSeparator/>
      </w:r>
    </w:p>
  </w:footnote>
  <w:footnote w:id="1">
    <w:p w14:paraId="2ECB82BC" w14:textId="44BCCB59" w:rsidR="006131F8" w:rsidRDefault="006131F8">
      <w:pPr>
        <w:pStyle w:val="FootnoteText"/>
      </w:pPr>
      <w:r>
        <w:rPr>
          <w:rStyle w:val="FootnoteReference"/>
        </w:rPr>
        <w:footnoteRef/>
      </w:r>
      <w:r>
        <w:t xml:space="preserve"> </w:t>
      </w:r>
      <w:r w:rsidRPr="006131F8">
        <w:t>OMB Memorandum M–23–13 lays out limited exceptions that are permitted by the law for law enforcement, national security interests, and security research, but their use should be limited to situations that are critical to the agency mission and where no alternative is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3AE9" w14:textId="63037E74" w:rsidR="003E0E9B" w:rsidRDefault="00703A59">
    <w:pPr>
      <w:pStyle w:val="Header"/>
    </w:pPr>
    <w:r>
      <w:rPr>
        <w:noProof/>
      </w:rPr>
      <w:pict w14:anchorId="23648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323047"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2F45" w14:textId="106D7F14" w:rsidR="003E0E9B" w:rsidRDefault="00703A59">
    <w:pPr>
      <w:pStyle w:val="Header"/>
    </w:pPr>
    <w:r>
      <w:rPr>
        <w:noProof/>
      </w:rPr>
      <w:pict w14:anchorId="48A58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323048"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9AF4" w14:textId="6684F179" w:rsidR="003E0E9B" w:rsidRDefault="00703A59">
    <w:pPr>
      <w:pStyle w:val="Header"/>
    </w:pPr>
    <w:r>
      <w:rPr>
        <w:noProof/>
      </w:rPr>
      <w:pict w14:anchorId="0B62C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323046"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95"/>
    <w:rsid w:val="00025CC8"/>
    <w:rsid w:val="00055D31"/>
    <w:rsid w:val="0006286C"/>
    <w:rsid w:val="0008531F"/>
    <w:rsid w:val="000C2D88"/>
    <w:rsid w:val="000C5645"/>
    <w:rsid w:val="000E3371"/>
    <w:rsid w:val="000E41A7"/>
    <w:rsid w:val="000E4CB7"/>
    <w:rsid w:val="000F3828"/>
    <w:rsid w:val="001030A4"/>
    <w:rsid w:val="00105D77"/>
    <w:rsid w:val="001072DC"/>
    <w:rsid w:val="00165DE6"/>
    <w:rsid w:val="00184BBB"/>
    <w:rsid w:val="00196DB8"/>
    <w:rsid w:val="00196FF9"/>
    <w:rsid w:val="001A1E09"/>
    <w:rsid w:val="001B32CC"/>
    <w:rsid w:val="001B39A7"/>
    <w:rsid w:val="001B3B56"/>
    <w:rsid w:val="001C6BD6"/>
    <w:rsid w:val="001D5713"/>
    <w:rsid w:val="001D6831"/>
    <w:rsid w:val="00233FB2"/>
    <w:rsid w:val="0024435F"/>
    <w:rsid w:val="002524D8"/>
    <w:rsid w:val="00260709"/>
    <w:rsid w:val="002648DA"/>
    <w:rsid w:val="002873D1"/>
    <w:rsid w:val="002965B5"/>
    <w:rsid w:val="002D788D"/>
    <w:rsid w:val="002E052F"/>
    <w:rsid w:val="002E5F63"/>
    <w:rsid w:val="002F3DD6"/>
    <w:rsid w:val="00300E19"/>
    <w:rsid w:val="00311DBC"/>
    <w:rsid w:val="00312754"/>
    <w:rsid w:val="00327D0D"/>
    <w:rsid w:val="00330532"/>
    <w:rsid w:val="00371786"/>
    <w:rsid w:val="00384282"/>
    <w:rsid w:val="003928B9"/>
    <w:rsid w:val="00395AE5"/>
    <w:rsid w:val="003B36A4"/>
    <w:rsid w:val="003C4FEC"/>
    <w:rsid w:val="003C5D01"/>
    <w:rsid w:val="003E0E9B"/>
    <w:rsid w:val="003F01EA"/>
    <w:rsid w:val="00423195"/>
    <w:rsid w:val="0043572A"/>
    <w:rsid w:val="004375A9"/>
    <w:rsid w:val="00475C11"/>
    <w:rsid w:val="004948D9"/>
    <w:rsid w:val="004F5A8E"/>
    <w:rsid w:val="005128A2"/>
    <w:rsid w:val="005177C8"/>
    <w:rsid w:val="00534D9C"/>
    <w:rsid w:val="00561F9E"/>
    <w:rsid w:val="00562309"/>
    <w:rsid w:val="00571FB8"/>
    <w:rsid w:val="00581D7D"/>
    <w:rsid w:val="005A2062"/>
    <w:rsid w:val="005B627F"/>
    <w:rsid w:val="005C1665"/>
    <w:rsid w:val="005D434D"/>
    <w:rsid w:val="005D4A27"/>
    <w:rsid w:val="0060294D"/>
    <w:rsid w:val="006131F8"/>
    <w:rsid w:val="00643DDF"/>
    <w:rsid w:val="00685687"/>
    <w:rsid w:val="006933C7"/>
    <w:rsid w:val="006D32A6"/>
    <w:rsid w:val="00703A59"/>
    <w:rsid w:val="00706403"/>
    <w:rsid w:val="00774A39"/>
    <w:rsid w:val="00815E18"/>
    <w:rsid w:val="00860049"/>
    <w:rsid w:val="008742DF"/>
    <w:rsid w:val="00882FA5"/>
    <w:rsid w:val="008B3AD8"/>
    <w:rsid w:val="008C3BFD"/>
    <w:rsid w:val="008D143B"/>
    <w:rsid w:val="008D29BC"/>
    <w:rsid w:val="008E5AF4"/>
    <w:rsid w:val="00933B9F"/>
    <w:rsid w:val="00987C26"/>
    <w:rsid w:val="0099659D"/>
    <w:rsid w:val="009A2FFE"/>
    <w:rsid w:val="009D3E83"/>
    <w:rsid w:val="009F6779"/>
    <w:rsid w:val="009F744B"/>
    <w:rsid w:val="00A00025"/>
    <w:rsid w:val="00A541D5"/>
    <w:rsid w:val="00A609C6"/>
    <w:rsid w:val="00A76A0A"/>
    <w:rsid w:val="00A9157E"/>
    <w:rsid w:val="00AE4A19"/>
    <w:rsid w:val="00AE6B14"/>
    <w:rsid w:val="00AF2457"/>
    <w:rsid w:val="00B31F03"/>
    <w:rsid w:val="00B42FE9"/>
    <w:rsid w:val="00B67FCB"/>
    <w:rsid w:val="00C251F7"/>
    <w:rsid w:val="00C35BC6"/>
    <w:rsid w:val="00C41492"/>
    <w:rsid w:val="00C44A83"/>
    <w:rsid w:val="00C77FE0"/>
    <w:rsid w:val="00CE119B"/>
    <w:rsid w:val="00CF5AAF"/>
    <w:rsid w:val="00D42B7D"/>
    <w:rsid w:val="00D5492E"/>
    <w:rsid w:val="00D570C3"/>
    <w:rsid w:val="00DA1D28"/>
    <w:rsid w:val="00DA5E0C"/>
    <w:rsid w:val="00DC24F3"/>
    <w:rsid w:val="00DE5298"/>
    <w:rsid w:val="00E14209"/>
    <w:rsid w:val="00E35792"/>
    <w:rsid w:val="00E53841"/>
    <w:rsid w:val="00E54439"/>
    <w:rsid w:val="00E660AE"/>
    <w:rsid w:val="00E7664B"/>
    <w:rsid w:val="00EA225C"/>
    <w:rsid w:val="00EC521F"/>
    <w:rsid w:val="00F02833"/>
    <w:rsid w:val="00F02B8A"/>
    <w:rsid w:val="00F07A28"/>
    <w:rsid w:val="00F42934"/>
    <w:rsid w:val="00F517A4"/>
    <w:rsid w:val="00F61A99"/>
    <w:rsid w:val="00F745D0"/>
    <w:rsid w:val="00F8570A"/>
    <w:rsid w:val="00FD3AF5"/>
    <w:rsid w:val="00FD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D3AB1"/>
  <w15:chartTrackingRefBased/>
  <w15:docId w15:val="{943A1045-EBC2-4A21-8CC3-27343D2A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95"/>
    <w:pPr>
      <w:spacing w:before="100" w:beforeAutospacing="1" w:after="100" w:afterAutospacing="1"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195"/>
    <w:pPr>
      <w:spacing w:beforeAutospacing="1" w:after="0" w:afterAutospacing="1"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9659D"/>
    <w:rPr>
      <w:color w:val="0563C1"/>
      <w:u w:val="single"/>
    </w:rPr>
  </w:style>
  <w:style w:type="paragraph" w:styleId="NormalWeb">
    <w:name w:val="Normal (Web)"/>
    <w:basedOn w:val="Normal"/>
    <w:uiPriority w:val="99"/>
    <w:semiHidden/>
    <w:unhideWhenUsed/>
    <w:rsid w:val="0099659D"/>
    <w:rPr>
      <w:rFonts w:ascii="Calibri" w:hAnsi="Calibri" w:cs="Calibri"/>
      <w:kern w:val="0"/>
      <w14:ligatures w14:val="none"/>
    </w:rPr>
  </w:style>
  <w:style w:type="character" w:styleId="Strong">
    <w:name w:val="Strong"/>
    <w:basedOn w:val="DefaultParagraphFont"/>
    <w:uiPriority w:val="22"/>
    <w:qFormat/>
    <w:rsid w:val="0099659D"/>
    <w:rPr>
      <w:b/>
      <w:bCs/>
    </w:rPr>
  </w:style>
  <w:style w:type="paragraph" w:styleId="NoSpacing">
    <w:name w:val="No Spacing"/>
    <w:uiPriority w:val="1"/>
    <w:qFormat/>
    <w:rsid w:val="001A1E09"/>
    <w:pPr>
      <w:spacing w:beforeAutospacing="1" w:after="0" w:afterAutospacing="1" w:line="240" w:lineRule="auto"/>
    </w:pPr>
    <w:rPr>
      <w:kern w:val="2"/>
      <w14:ligatures w14:val="standardContextual"/>
    </w:rPr>
  </w:style>
  <w:style w:type="paragraph" w:styleId="FootnoteText">
    <w:name w:val="footnote text"/>
    <w:basedOn w:val="Normal"/>
    <w:link w:val="FootnoteTextChar"/>
    <w:uiPriority w:val="99"/>
    <w:semiHidden/>
    <w:unhideWhenUsed/>
    <w:rsid w:val="002873D1"/>
    <w:pPr>
      <w:spacing w:before="0" w:beforeAutospacing="0" w:after="0" w:afterAutospacing="0"/>
    </w:pPr>
    <w:rPr>
      <w:sz w:val="20"/>
      <w:szCs w:val="20"/>
    </w:rPr>
  </w:style>
  <w:style w:type="character" w:customStyle="1" w:styleId="FootnoteTextChar">
    <w:name w:val="Footnote Text Char"/>
    <w:basedOn w:val="DefaultParagraphFont"/>
    <w:link w:val="FootnoteText"/>
    <w:uiPriority w:val="99"/>
    <w:semiHidden/>
    <w:rsid w:val="002873D1"/>
    <w:rPr>
      <w:kern w:val="2"/>
      <w:sz w:val="20"/>
      <w:szCs w:val="20"/>
      <w14:ligatures w14:val="standardContextual"/>
    </w:rPr>
  </w:style>
  <w:style w:type="character" w:styleId="FootnoteReference">
    <w:name w:val="footnote reference"/>
    <w:basedOn w:val="DefaultParagraphFont"/>
    <w:uiPriority w:val="99"/>
    <w:semiHidden/>
    <w:unhideWhenUsed/>
    <w:rsid w:val="002873D1"/>
    <w:rPr>
      <w:vertAlign w:val="superscript"/>
    </w:rPr>
  </w:style>
  <w:style w:type="paragraph" w:styleId="ListParagraph">
    <w:name w:val="List Paragraph"/>
    <w:basedOn w:val="Normal"/>
    <w:uiPriority w:val="34"/>
    <w:qFormat/>
    <w:rsid w:val="008742DF"/>
    <w:pPr>
      <w:spacing w:before="0" w:beforeAutospacing="0" w:after="160" w:afterAutospacing="0" w:line="259" w:lineRule="auto"/>
      <w:ind w:left="720"/>
      <w:contextualSpacing/>
    </w:pPr>
  </w:style>
  <w:style w:type="paragraph" w:styleId="Header">
    <w:name w:val="header"/>
    <w:basedOn w:val="Normal"/>
    <w:link w:val="HeaderChar"/>
    <w:uiPriority w:val="99"/>
    <w:unhideWhenUsed/>
    <w:rsid w:val="003E0E9B"/>
    <w:pPr>
      <w:tabs>
        <w:tab w:val="center" w:pos="4680"/>
        <w:tab w:val="right" w:pos="9360"/>
      </w:tabs>
      <w:spacing w:before="0" w:after="0"/>
    </w:pPr>
  </w:style>
  <w:style w:type="character" w:customStyle="1" w:styleId="HeaderChar">
    <w:name w:val="Header Char"/>
    <w:basedOn w:val="DefaultParagraphFont"/>
    <w:link w:val="Header"/>
    <w:uiPriority w:val="99"/>
    <w:rsid w:val="003E0E9B"/>
    <w:rPr>
      <w:kern w:val="2"/>
      <w14:ligatures w14:val="standardContextual"/>
    </w:rPr>
  </w:style>
  <w:style w:type="paragraph" w:styleId="Footer">
    <w:name w:val="footer"/>
    <w:basedOn w:val="Normal"/>
    <w:link w:val="FooterChar"/>
    <w:uiPriority w:val="99"/>
    <w:unhideWhenUsed/>
    <w:rsid w:val="003E0E9B"/>
    <w:pPr>
      <w:tabs>
        <w:tab w:val="center" w:pos="4680"/>
        <w:tab w:val="right" w:pos="9360"/>
      </w:tabs>
      <w:spacing w:before="0" w:after="0"/>
    </w:pPr>
  </w:style>
  <w:style w:type="character" w:customStyle="1" w:styleId="FooterChar">
    <w:name w:val="Footer Char"/>
    <w:basedOn w:val="DefaultParagraphFont"/>
    <w:link w:val="Footer"/>
    <w:uiPriority w:val="99"/>
    <w:rsid w:val="003E0E9B"/>
    <w:rPr>
      <w:kern w:val="2"/>
      <w14:ligatures w14:val="standardContextual"/>
    </w:rPr>
  </w:style>
  <w:style w:type="paragraph" w:styleId="Revision">
    <w:name w:val="Revision"/>
    <w:hidden/>
    <w:uiPriority w:val="99"/>
    <w:semiHidden/>
    <w:rsid w:val="00196DB8"/>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581D7D"/>
    <w:rPr>
      <w:sz w:val="16"/>
      <w:szCs w:val="16"/>
    </w:rPr>
  </w:style>
  <w:style w:type="paragraph" w:styleId="CommentText">
    <w:name w:val="annotation text"/>
    <w:basedOn w:val="Normal"/>
    <w:link w:val="CommentTextChar"/>
    <w:uiPriority w:val="99"/>
    <w:unhideWhenUsed/>
    <w:rsid w:val="00581D7D"/>
    <w:rPr>
      <w:sz w:val="20"/>
      <w:szCs w:val="20"/>
    </w:rPr>
  </w:style>
  <w:style w:type="character" w:customStyle="1" w:styleId="CommentTextChar">
    <w:name w:val="Comment Text Char"/>
    <w:basedOn w:val="DefaultParagraphFont"/>
    <w:link w:val="CommentText"/>
    <w:uiPriority w:val="99"/>
    <w:rsid w:val="00581D7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81D7D"/>
    <w:rPr>
      <w:b/>
      <w:bCs/>
    </w:rPr>
  </w:style>
  <w:style w:type="character" w:customStyle="1" w:styleId="CommentSubjectChar">
    <w:name w:val="Comment Subject Char"/>
    <w:basedOn w:val="CommentTextChar"/>
    <w:link w:val="CommentSubject"/>
    <w:uiPriority w:val="99"/>
    <w:semiHidden/>
    <w:rsid w:val="00581D7D"/>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aldron@thecgp.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IanBell\AppData\Local\Microsoft\Windows\INetCache\Content.Outlook\DUSJ323Q\TikTockComments%20(002).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6C90F-F40F-498D-A391-898297A6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3062</Words>
  <Characters>17458</Characters>
  <Application>Microsoft Office Word</Application>
  <DocSecurity>0</DocSecurity>
  <Lines>145</Lines>
  <Paragraphs>40</Paragraphs>
  <ScaleCrop>false</ScaleCrop>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Hanafin</dc:creator>
  <cp:keywords/>
  <dc:description/>
  <cp:lastModifiedBy>Ian Bell</cp:lastModifiedBy>
  <cp:revision>5</cp:revision>
  <dcterms:created xsi:type="dcterms:W3CDTF">2023-07-27T20:49:00Z</dcterms:created>
  <dcterms:modified xsi:type="dcterms:W3CDTF">2023-07-27T20:51:00Z</dcterms:modified>
</cp:coreProperties>
</file>