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74C66" w14:textId="02235E37" w:rsidR="00795103" w:rsidRDefault="692FEDCC" w:rsidP="3E0F598F">
      <w:pPr>
        <w:spacing w:line="257" w:lineRule="auto"/>
      </w:pPr>
      <w:r w:rsidRPr="3E0F598F">
        <w:rPr>
          <w:rFonts w:ascii="Calibri" w:eastAsia="Calibri" w:hAnsi="Calibri" w:cs="Calibri"/>
          <w:b/>
          <w:bCs/>
          <w:color w:val="000000" w:themeColor="text1"/>
        </w:rPr>
        <w:t>Introduction</w:t>
      </w:r>
    </w:p>
    <w:p w14:paraId="4B17D4D2" w14:textId="6CE29726" w:rsidR="00795103" w:rsidRDefault="692FEDCC" w:rsidP="3E0F598F">
      <w:pPr>
        <w:spacing w:line="257" w:lineRule="auto"/>
      </w:pPr>
      <w:r w:rsidRPr="3E0F598F">
        <w:rPr>
          <w:rFonts w:ascii="Calibri" w:eastAsia="Calibri" w:hAnsi="Calibri" w:cs="Calibri"/>
          <w:color w:val="000000" w:themeColor="text1"/>
        </w:rPr>
        <w:t xml:space="preserve">The Coalition for Government Procurement (Coalition) appreciates the opportunity to submit comments regarding the General Services Administration’s (GSA) request for extension of the information collection requirements for Transactional Data Reporting (TDR).  </w:t>
      </w:r>
    </w:p>
    <w:p w14:paraId="7D382149" w14:textId="5DAC49C6" w:rsidR="00795103" w:rsidRDefault="692FEDCC" w:rsidP="3E0F598F">
      <w:pPr>
        <w:spacing w:line="257" w:lineRule="auto"/>
      </w:pPr>
      <w:r w:rsidRPr="3E0F598F">
        <w:rPr>
          <w:rFonts w:ascii="Calibri" w:eastAsia="Calibri" w:hAnsi="Calibri" w:cs="Calibri"/>
          <w:color w:val="000000" w:themeColor="text1"/>
        </w:rPr>
        <w:t>The Coalition is a non-profit association of firms selling commercial services, products, and solutions to the Federal Government. Our members collectively account for tens of billions of dollars of the sales generated through the GSA Multiple Award Schedules (MAS) program, VA Federal Supply Schedules (FSS), the Government-wide Acquisition Contracts (GWAC), and agency-specific multiple award contracts (MAC). Coalition members include small, medium, and large businesses that account for more than $145 billion in Federal Government contracts. The Coalition is proud to have worked with Government officials for more than 40 years towards the mutual goal of common-sense acquisition.</w:t>
      </w:r>
    </w:p>
    <w:p w14:paraId="06DD60B5" w14:textId="55A5A59D" w:rsidR="00881633" w:rsidRDefault="692FEDCC" w:rsidP="3E0F598F">
      <w:pPr>
        <w:spacing w:line="257" w:lineRule="auto"/>
        <w:rPr>
          <w:rFonts w:ascii="Calibri" w:eastAsia="Calibri" w:hAnsi="Calibri" w:cs="Calibri"/>
          <w:color w:val="000000" w:themeColor="text1"/>
        </w:rPr>
      </w:pPr>
      <w:r w:rsidRPr="3E0F598F">
        <w:rPr>
          <w:rFonts w:ascii="Calibri" w:eastAsia="Calibri" w:hAnsi="Calibri" w:cs="Calibri"/>
          <w:color w:val="000000" w:themeColor="text1"/>
        </w:rPr>
        <w:t xml:space="preserve">The Coalition supports </w:t>
      </w:r>
      <w:r w:rsidR="00202050">
        <w:rPr>
          <w:rFonts w:ascii="Calibri" w:eastAsia="Calibri" w:hAnsi="Calibri" w:cs="Calibri"/>
          <w:color w:val="000000" w:themeColor="text1"/>
        </w:rPr>
        <w:t>the</w:t>
      </w:r>
      <w:r w:rsidR="5C44FBF0" w:rsidRPr="3E0F598F">
        <w:rPr>
          <w:rFonts w:ascii="Calibri" w:eastAsia="Calibri" w:hAnsi="Calibri" w:cs="Calibri"/>
          <w:color w:val="000000" w:themeColor="text1"/>
        </w:rPr>
        <w:t xml:space="preserve"> introduction of TDR as an optional measure for the Schedules program</w:t>
      </w:r>
      <w:r w:rsidR="00DF4D14">
        <w:rPr>
          <w:rFonts w:ascii="Calibri" w:eastAsia="Calibri" w:hAnsi="Calibri" w:cs="Calibri"/>
          <w:color w:val="000000" w:themeColor="text1"/>
        </w:rPr>
        <w:t xml:space="preserve"> based on its</w:t>
      </w:r>
      <w:r w:rsidR="5BCF02E8" w:rsidRPr="3E0F598F">
        <w:rPr>
          <w:rFonts w:ascii="Calibri" w:eastAsia="Calibri" w:hAnsi="Calibri" w:cs="Calibri"/>
          <w:color w:val="000000" w:themeColor="text1"/>
        </w:rPr>
        <w:t xml:space="preserve"> ability to </w:t>
      </w:r>
      <w:r w:rsidR="2F557C9F" w:rsidRPr="3E0F598F">
        <w:rPr>
          <w:rFonts w:ascii="Calibri" w:eastAsia="Calibri" w:hAnsi="Calibri" w:cs="Calibri"/>
          <w:color w:val="000000" w:themeColor="text1"/>
        </w:rPr>
        <w:t>improve supply chain resilience, provide price transparency</w:t>
      </w:r>
      <w:r w:rsidR="099FC661" w:rsidRPr="3E0F598F">
        <w:rPr>
          <w:rFonts w:ascii="Calibri" w:eastAsia="Calibri" w:hAnsi="Calibri" w:cs="Calibri"/>
          <w:color w:val="000000" w:themeColor="text1"/>
        </w:rPr>
        <w:t xml:space="preserve">, and promote </w:t>
      </w:r>
      <w:r w:rsidR="00DF4D14">
        <w:rPr>
          <w:rFonts w:ascii="Calibri" w:eastAsia="Calibri" w:hAnsi="Calibri" w:cs="Calibri"/>
          <w:color w:val="000000" w:themeColor="text1"/>
        </w:rPr>
        <w:t xml:space="preserve">policy </w:t>
      </w:r>
      <w:r w:rsidR="099FC661" w:rsidRPr="3E0F598F">
        <w:rPr>
          <w:rFonts w:ascii="Calibri" w:eastAsia="Calibri" w:hAnsi="Calibri" w:cs="Calibri"/>
          <w:color w:val="000000" w:themeColor="text1"/>
        </w:rPr>
        <w:t>objectives</w:t>
      </w:r>
      <w:r w:rsidR="00DF4D14">
        <w:rPr>
          <w:rFonts w:ascii="Calibri" w:eastAsia="Calibri" w:hAnsi="Calibri" w:cs="Calibri"/>
          <w:color w:val="000000" w:themeColor="text1"/>
        </w:rPr>
        <w:t>,</w:t>
      </w:r>
      <w:r w:rsidR="099FC661" w:rsidRPr="3E0F598F">
        <w:rPr>
          <w:rFonts w:ascii="Calibri" w:eastAsia="Calibri" w:hAnsi="Calibri" w:cs="Calibri"/>
          <w:color w:val="000000" w:themeColor="text1"/>
        </w:rPr>
        <w:t xml:space="preserve"> like sustainable acquisition</w:t>
      </w:r>
      <w:r w:rsidR="5BCF02E8" w:rsidRPr="3E0F598F">
        <w:rPr>
          <w:rFonts w:ascii="Calibri" w:eastAsia="Calibri" w:hAnsi="Calibri" w:cs="Calibri"/>
          <w:color w:val="000000" w:themeColor="text1"/>
        </w:rPr>
        <w:t>.</w:t>
      </w:r>
      <w:r w:rsidR="62276032" w:rsidRPr="3E0F598F">
        <w:rPr>
          <w:rFonts w:ascii="Calibri" w:eastAsia="Calibri" w:hAnsi="Calibri" w:cs="Calibri"/>
          <w:color w:val="000000" w:themeColor="text1"/>
        </w:rPr>
        <w:t xml:space="preserve"> </w:t>
      </w:r>
      <w:r w:rsidR="00DF4D14">
        <w:rPr>
          <w:rFonts w:ascii="Calibri" w:eastAsia="Calibri" w:hAnsi="Calibri" w:cs="Calibri"/>
          <w:color w:val="000000" w:themeColor="text1"/>
        </w:rPr>
        <w:t>TDR</w:t>
      </w:r>
      <w:r w:rsidR="42735AA8" w:rsidRPr="3E0F598F">
        <w:rPr>
          <w:rFonts w:ascii="Calibri" w:eastAsia="Calibri" w:hAnsi="Calibri" w:cs="Calibri"/>
          <w:color w:val="000000" w:themeColor="text1"/>
        </w:rPr>
        <w:t xml:space="preserve"> eliminates </w:t>
      </w:r>
      <w:r w:rsidR="62276032" w:rsidRPr="3E0F598F">
        <w:rPr>
          <w:rFonts w:ascii="Calibri" w:eastAsia="Calibri" w:hAnsi="Calibri" w:cs="Calibri"/>
          <w:color w:val="000000" w:themeColor="text1"/>
        </w:rPr>
        <w:t xml:space="preserve">the </w:t>
      </w:r>
      <w:r w:rsidR="00202050">
        <w:rPr>
          <w:rFonts w:ascii="Calibri" w:eastAsia="Calibri" w:hAnsi="Calibri" w:cs="Calibri"/>
          <w:color w:val="000000" w:themeColor="text1"/>
        </w:rPr>
        <w:t xml:space="preserve">need for compliance-intensive </w:t>
      </w:r>
      <w:r w:rsidR="62276032" w:rsidRPr="3E0F598F">
        <w:rPr>
          <w:rFonts w:ascii="Calibri" w:eastAsia="Calibri" w:hAnsi="Calibri" w:cs="Calibri"/>
          <w:color w:val="000000" w:themeColor="text1"/>
        </w:rPr>
        <w:t xml:space="preserve">Price Reduction Clause (PRC) and </w:t>
      </w:r>
      <w:r w:rsidR="009B45F9">
        <w:rPr>
          <w:rFonts w:ascii="Calibri" w:eastAsia="Calibri" w:hAnsi="Calibri" w:cs="Calibri"/>
          <w:color w:val="000000" w:themeColor="text1"/>
        </w:rPr>
        <w:t>C</w:t>
      </w:r>
      <w:r w:rsidR="62276032" w:rsidRPr="3E0F598F">
        <w:rPr>
          <w:rFonts w:ascii="Calibri" w:eastAsia="Calibri" w:hAnsi="Calibri" w:cs="Calibri"/>
          <w:color w:val="000000" w:themeColor="text1"/>
        </w:rPr>
        <w:t xml:space="preserve">ommercial </w:t>
      </w:r>
      <w:r w:rsidR="009B45F9">
        <w:rPr>
          <w:rFonts w:ascii="Calibri" w:eastAsia="Calibri" w:hAnsi="Calibri" w:cs="Calibri"/>
          <w:color w:val="000000" w:themeColor="text1"/>
        </w:rPr>
        <w:t>S</w:t>
      </w:r>
      <w:r w:rsidR="62276032" w:rsidRPr="3E0F598F">
        <w:rPr>
          <w:rFonts w:ascii="Calibri" w:eastAsia="Calibri" w:hAnsi="Calibri" w:cs="Calibri"/>
          <w:color w:val="000000" w:themeColor="text1"/>
        </w:rPr>
        <w:t>ales</w:t>
      </w:r>
      <w:r w:rsidR="1A73E81A" w:rsidRPr="3E0F598F">
        <w:rPr>
          <w:rFonts w:ascii="Calibri" w:eastAsia="Calibri" w:hAnsi="Calibri" w:cs="Calibri"/>
          <w:color w:val="000000" w:themeColor="text1"/>
        </w:rPr>
        <w:t xml:space="preserve"> </w:t>
      </w:r>
      <w:r w:rsidR="009B45F9">
        <w:rPr>
          <w:rFonts w:ascii="Calibri" w:eastAsia="Calibri" w:hAnsi="Calibri" w:cs="Calibri"/>
          <w:color w:val="000000" w:themeColor="text1"/>
        </w:rPr>
        <w:t>P</w:t>
      </w:r>
      <w:r w:rsidR="1A73E81A" w:rsidRPr="3E0F598F">
        <w:rPr>
          <w:rFonts w:ascii="Calibri" w:eastAsia="Calibri" w:hAnsi="Calibri" w:cs="Calibri"/>
          <w:color w:val="000000" w:themeColor="text1"/>
        </w:rPr>
        <w:t>ractice (CSP)</w:t>
      </w:r>
      <w:r w:rsidR="62276032" w:rsidRPr="3E0F598F">
        <w:rPr>
          <w:rFonts w:ascii="Calibri" w:eastAsia="Calibri" w:hAnsi="Calibri" w:cs="Calibri"/>
          <w:color w:val="000000" w:themeColor="text1"/>
        </w:rPr>
        <w:t xml:space="preserve"> disclosures</w:t>
      </w:r>
      <w:r w:rsidR="00202050">
        <w:rPr>
          <w:rFonts w:ascii="Calibri" w:eastAsia="Calibri" w:hAnsi="Calibri" w:cs="Calibri"/>
          <w:color w:val="000000" w:themeColor="text1"/>
        </w:rPr>
        <w:t xml:space="preserve">, which GSA currently uses to </w:t>
      </w:r>
      <w:r w:rsidR="44300868" w:rsidRPr="3E0F598F">
        <w:rPr>
          <w:rFonts w:ascii="Calibri" w:eastAsia="Calibri" w:hAnsi="Calibri" w:cs="Calibri"/>
          <w:color w:val="000000" w:themeColor="text1"/>
        </w:rPr>
        <w:t>ensure that the Schedules program meets its mandate to provide the lowest overall cost alternative that meets the government’s need</w:t>
      </w:r>
      <w:r w:rsidR="62276032" w:rsidRPr="3E0F598F">
        <w:rPr>
          <w:rFonts w:ascii="Calibri" w:eastAsia="Calibri" w:hAnsi="Calibri" w:cs="Calibri"/>
          <w:color w:val="000000" w:themeColor="text1"/>
        </w:rPr>
        <w:t>.</w:t>
      </w:r>
      <w:r w:rsidRPr="3E0F598F">
        <w:rPr>
          <w:rFonts w:ascii="Calibri" w:eastAsia="Calibri" w:hAnsi="Calibri" w:cs="Calibri"/>
          <w:color w:val="000000" w:themeColor="text1"/>
        </w:rPr>
        <w:t xml:space="preserve"> </w:t>
      </w:r>
      <w:r w:rsidR="00202050">
        <w:rPr>
          <w:rFonts w:ascii="Calibri" w:eastAsia="Calibri" w:hAnsi="Calibri" w:cs="Calibri"/>
          <w:color w:val="000000" w:themeColor="text1"/>
        </w:rPr>
        <w:t>We believe that t</w:t>
      </w:r>
      <w:r w:rsidR="6B1AA5C8" w:rsidRPr="3E0F598F">
        <w:rPr>
          <w:rFonts w:ascii="Calibri" w:eastAsia="Calibri" w:hAnsi="Calibri" w:cs="Calibri"/>
          <w:color w:val="000000" w:themeColor="text1"/>
        </w:rPr>
        <w:t xml:space="preserve">he PRC and CSP </w:t>
      </w:r>
      <w:r w:rsidR="6614E3D9" w:rsidRPr="3E0F598F">
        <w:rPr>
          <w:rFonts w:ascii="Calibri" w:eastAsia="Calibri" w:hAnsi="Calibri" w:cs="Calibri"/>
          <w:color w:val="000000" w:themeColor="text1"/>
        </w:rPr>
        <w:t xml:space="preserve">are </w:t>
      </w:r>
      <w:r w:rsidR="00DF4D14">
        <w:rPr>
          <w:rFonts w:ascii="Calibri" w:eastAsia="Calibri" w:hAnsi="Calibri" w:cs="Calibri"/>
          <w:color w:val="000000" w:themeColor="text1"/>
        </w:rPr>
        <w:t>not as effective as TDR</w:t>
      </w:r>
      <w:r w:rsidR="00EF4916">
        <w:rPr>
          <w:rFonts w:ascii="Calibri" w:eastAsia="Calibri" w:hAnsi="Calibri" w:cs="Calibri"/>
          <w:color w:val="000000" w:themeColor="text1"/>
        </w:rPr>
        <w:t xml:space="preserve"> in securing accurate, actionable pricing data</w:t>
      </w:r>
      <w:r w:rsidR="00DF4D14">
        <w:rPr>
          <w:rFonts w:ascii="Calibri" w:eastAsia="Calibri" w:hAnsi="Calibri" w:cs="Calibri"/>
          <w:color w:val="000000" w:themeColor="text1"/>
        </w:rPr>
        <w:t>, and they present</w:t>
      </w:r>
      <w:r w:rsidR="6F224938" w:rsidRPr="3E0F598F">
        <w:rPr>
          <w:rFonts w:ascii="Calibri" w:eastAsia="Calibri" w:hAnsi="Calibri" w:cs="Calibri"/>
          <w:color w:val="000000" w:themeColor="text1"/>
        </w:rPr>
        <w:t xml:space="preserve"> </w:t>
      </w:r>
      <w:r w:rsidR="56E9C34D" w:rsidRPr="3E0F598F">
        <w:rPr>
          <w:rFonts w:ascii="Calibri" w:eastAsia="Calibri" w:hAnsi="Calibri" w:cs="Calibri"/>
          <w:color w:val="000000" w:themeColor="text1"/>
        </w:rPr>
        <w:t xml:space="preserve">a high barrier to entry </w:t>
      </w:r>
      <w:r w:rsidR="00DF4D14">
        <w:rPr>
          <w:rFonts w:ascii="Calibri" w:eastAsia="Calibri" w:hAnsi="Calibri" w:cs="Calibri"/>
          <w:color w:val="000000" w:themeColor="text1"/>
        </w:rPr>
        <w:t>in</w:t>
      </w:r>
      <w:r w:rsidR="3C4222C1" w:rsidRPr="3E0F598F">
        <w:rPr>
          <w:rFonts w:ascii="Calibri" w:eastAsia="Calibri" w:hAnsi="Calibri" w:cs="Calibri"/>
          <w:color w:val="000000" w:themeColor="text1"/>
        </w:rPr>
        <w:t>to the federal marketplace</w:t>
      </w:r>
      <w:r w:rsidR="60E21A5D" w:rsidRPr="3E0F598F">
        <w:rPr>
          <w:rFonts w:ascii="Calibri" w:eastAsia="Calibri" w:hAnsi="Calibri" w:cs="Calibri"/>
          <w:color w:val="000000" w:themeColor="text1"/>
        </w:rPr>
        <w:t xml:space="preserve">, </w:t>
      </w:r>
      <w:r w:rsidR="1C5D0C77" w:rsidRPr="3E0F598F">
        <w:rPr>
          <w:rFonts w:ascii="Calibri" w:eastAsia="Calibri" w:hAnsi="Calibri" w:cs="Calibri"/>
          <w:color w:val="000000" w:themeColor="text1"/>
        </w:rPr>
        <w:t xml:space="preserve">thereby </w:t>
      </w:r>
      <w:r w:rsidR="60E21A5D" w:rsidRPr="3E0F598F">
        <w:rPr>
          <w:rFonts w:ascii="Calibri" w:eastAsia="Calibri" w:hAnsi="Calibri" w:cs="Calibri"/>
          <w:color w:val="000000" w:themeColor="text1"/>
        </w:rPr>
        <w:t>stifling the</w:t>
      </w:r>
      <w:r w:rsidR="1844DE1C" w:rsidRPr="3E0F598F">
        <w:rPr>
          <w:rFonts w:ascii="Calibri" w:eastAsia="Calibri" w:hAnsi="Calibri" w:cs="Calibri"/>
          <w:color w:val="000000" w:themeColor="text1"/>
        </w:rPr>
        <w:t xml:space="preserve"> competition</w:t>
      </w:r>
      <w:r w:rsidR="4AFAE12F" w:rsidRPr="3E0F598F">
        <w:rPr>
          <w:rFonts w:ascii="Calibri" w:eastAsia="Calibri" w:hAnsi="Calibri" w:cs="Calibri"/>
          <w:color w:val="000000" w:themeColor="text1"/>
        </w:rPr>
        <w:t>.</w:t>
      </w:r>
      <w:r w:rsidR="1AF77321" w:rsidRPr="3E0F598F">
        <w:rPr>
          <w:rFonts w:ascii="Calibri" w:eastAsia="Calibri" w:hAnsi="Calibri" w:cs="Calibri"/>
          <w:color w:val="000000" w:themeColor="text1"/>
        </w:rPr>
        <w:t xml:space="preserve"> </w:t>
      </w:r>
    </w:p>
    <w:p w14:paraId="12FC6732" w14:textId="3065074D" w:rsidR="00795103" w:rsidRDefault="00881633" w:rsidP="3E0F598F">
      <w:pPr>
        <w:spacing w:line="257" w:lineRule="auto"/>
        <w:rPr>
          <w:rFonts w:ascii="Calibri" w:eastAsia="Calibri" w:hAnsi="Calibri" w:cs="Calibri"/>
          <w:color w:val="000000" w:themeColor="text1"/>
        </w:rPr>
      </w:pPr>
      <w:r>
        <w:rPr>
          <w:rFonts w:ascii="Calibri" w:eastAsia="Calibri" w:hAnsi="Calibri" w:cs="Calibri"/>
          <w:color w:val="000000" w:themeColor="text1"/>
        </w:rPr>
        <w:t>B</w:t>
      </w:r>
      <w:r w:rsidR="73E6EFED" w:rsidRPr="3E0F598F">
        <w:rPr>
          <w:rFonts w:ascii="Calibri" w:eastAsia="Calibri" w:hAnsi="Calibri" w:cs="Calibri"/>
          <w:color w:val="000000" w:themeColor="text1"/>
        </w:rPr>
        <w:t xml:space="preserve">ased on an examination </w:t>
      </w:r>
      <w:r w:rsidR="11957BCA" w:rsidRPr="3E0F598F">
        <w:rPr>
          <w:rFonts w:ascii="Calibri" w:eastAsia="Calibri" w:hAnsi="Calibri" w:cs="Calibri"/>
          <w:color w:val="000000" w:themeColor="text1"/>
        </w:rPr>
        <w:t xml:space="preserve">of </w:t>
      </w:r>
      <w:r w:rsidR="05A5FB1D" w:rsidRPr="3E0F598F">
        <w:rPr>
          <w:rFonts w:ascii="Calibri" w:eastAsia="Calibri" w:hAnsi="Calibri" w:cs="Calibri"/>
          <w:color w:val="000000" w:themeColor="text1"/>
        </w:rPr>
        <w:t xml:space="preserve">the PRC and CSP's history </w:t>
      </w:r>
      <w:r w:rsidR="11957BCA" w:rsidRPr="3E0F598F">
        <w:rPr>
          <w:rFonts w:ascii="Calibri" w:eastAsia="Calibri" w:hAnsi="Calibri" w:cs="Calibri"/>
          <w:color w:val="000000" w:themeColor="text1"/>
        </w:rPr>
        <w:t>and their current problems</w:t>
      </w:r>
      <w:r w:rsidR="73E6EFED" w:rsidRPr="3E0F598F">
        <w:rPr>
          <w:rFonts w:ascii="Calibri" w:eastAsia="Calibri" w:hAnsi="Calibri" w:cs="Calibri"/>
          <w:color w:val="000000" w:themeColor="text1"/>
        </w:rPr>
        <w:t xml:space="preserve">, </w:t>
      </w:r>
      <w:r w:rsidR="009422AE">
        <w:rPr>
          <w:rFonts w:ascii="Calibri" w:eastAsia="Calibri" w:hAnsi="Calibri" w:cs="Calibri"/>
          <w:color w:val="000000" w:themeColor="text1"/>
        </w:rPr>
        <w:t xml:space="preserve">the Coalition believes </w:t>
      </w:r>
      <w:r w:rsidR="73E6EFED" w:rsidRPr="3E0F598F">
        <w:rPr>
          <w:rFonts w:ascii="Calibri" w:eastAsia="Calibri" w:hAnsi="Calibri" w:cs="Calibri"/>
          <w:color w:val="000000" w:themeColor="text1"/>
        </w:rPr>
        <w:t xml:space="preserve">that </w:t>
      </w:r>
      <w:r w:rsidR="1AF77321" w:rsidRPr="3E0F598F">
        <w:rPr>
          <w:rFonts w:ascii="Calibri" w:eastAsia="Calibri" w:hAnsi="Calibri" w:cs="Calibri"/>
          <w:color w:val="000000" w:themeColor="text1"/>
        </w:rPr>
        <w:t xml:space="preserve">TDR </w:t>
      </w:r>
      <w:r w:rsidR="17F16183" w:rsidRPr="3E0F598F">
        <w:rPr>
          <w:rFonts w:ascii="Calibri" w:eastAsia="Calibri" w:hAnsi="Calibri" w:cs="Calibri"/>
          <w:color w:val="000000" w:themeColor="text1"/>
        </w:rPr>
        <w:t xml:space="preserve">represents a natural </w:t>
      </w:r>
      <w:r w:rsidR="370D0E61" w:rsidRPr="3E0F598F">
        <w:rPr>
          <w:rFonts w:ascii="Calibri" w:eastAsia="Calibri" w:hAnsi="Calibri" w:cs="Calibri"/>
          <w:color w:val="000000" w:themeColor="text1"/>
        </w:rPr>
        <w:t xml:space="preserve">evolution of the </w:t>
      </w:r>
      <w:r w:rsidR="009422AE">
        <w:rPr>
          <w:rFonts w:ascii="Calibri" w:eastAsia="Calibri" w:hAnsi="Calibri" w:cs="Calibri"/>
          <w:color w:val="000000" w:themeColor="text1"/>
        </w:rPr>
        <w:t xml:space="preserve">tools associated with price </w:t>
      </w:r>
      <w:r w:rsidR="00283ED4">
        <w:rPr>
          <w:rFonts w:ascii="Calibri" w:eastAsia="Calibri" w:hAnsi="Calibri" w:cs="Calibri"/>
          <w:color w:val="000000" w:themeColor="text1"/>
        </w:rPr>
        <w:t>evaluation</w:t>
      </w:r>
      <w:r w:rsidR="009422AE">
        <w:rPr>
          <w:rFonts w:ascii="Calibri" w:eastAsia="Calibri" w:hAnsi="Calibri" w:cs="Calibri"/>
          <w:color w:val="000000" w:themeColor="text1"/>
        </w:rPr>
        <w:t xml:space="preserve"> (the </w:t>
      </w:r>
      <w:r w:rsidR="2CA970DD" w:rsidRPr="3E0F598F">
        <w:rPr>
          <w:rFonts w:ascii="Calibri" w:eastAsia="Calibri" w:hAnsi="Calibri" w:cs="Calibri"/>
          <w:color w:val="000000" w:themeColor="text1"/>
        </w:rPr>
        <w:t xml:space="preserve">PRC and </w:t>
      </w:r>
      <w:r w:rsidR="009422AE">
        <w:rPr>
          <w:rFonts w:ascii="Calibri" w:eastAsia="Calibri" w:hAnsi="Calibri" w:cs="Calibri"/>
          <w:color w:val="000000" w:themeColor="text1"/>
        </w:rPr>
        <w:t xml:space="preserve">the </w:t>
      </w:r>
      <w:r w:rsidR="2CA970DD" w:rsidRPr="3E0F598F">
        <w:rPr>
          <w:rFonts w:ascii="Calibri" w:eastAsia="Calibri" w:hAnsi="Calibri" w:cs="Calibri"/>
          <w:color w:val="000000" w:themeColor="text1"/>
        </w:rPr>
        <w:t>CSP</w:t>
      </w:r>
      <w:r w:rsidR="009422AE">
        <w:rPr>
          <w:rFonts w:ascii="Calibri" w:eastAsia="Calibri" w:hAnsi="Calibri" w:cs="Calibri"/>
          <w:color w:val="000000" w:themeColor="text1"/>
        </w:rPr>
        <w:t>)</w:t>
      </w:r>
      <w:r w:rsidR="17F16183" w:rsidRPr="3E0F598F">
        <w:rPr>
          <w:rFonts w:ascii="Calibri" w:eastAsia="Calibri" w:hAnsi="Calibri" w:cs="Calibri"/>
          <w:color w:val="000000" w:themeColor="text1"/>
        </w:rPr>
        <w:t>.</w:t>
      </w:r>
      <w:r w:rsidR="26BFDC3D" w:rsidRPr="3E0F598F">
        <w:rPr>
          <w:rFonts w:ascii="Calibri" w:eastAsia="Calibri" w:hAnsi="Calibri" w:cs="Calibri"/>
          <w:color w:val="000000" w:themeColor="text1"/>
        </w:rPr>
        <w:t xml:space="preserve"> </w:t>
      </w:r>
      <w:r w:rsidR="00690799">
        <w:rPr>
          <w:rFonts w:ascii="Calibri" w:eastAsia="Calibri" w:hAnsi="Calibri" w:cs="Calibri"/>
          <w:color w:val="000000" w:themeColor="text1"/>
        </w:rPr>
        <w:t xml:space="preserve">After </w:t>
      </w:r>
      <w:r w:rsidR="00294FA8">
        <w:rPr>
          <w:rFonts w:ascii="Calibri" w:eastAsia="Calibri" w:hAnsi="Calibri" w:cs="Calibri"/>
          <w:color w:val="000000" w:themeColor="text1"/>
        </w:rPr>
        <w:t xml:space="preserve">reviewing the results of a </w:t>
      </w:r>
      <w:r w:rsidR="00690799">
        <w:rPr>
          <w:rFonts w:ascii="Calibri" w:eastAsia="Calibri" w:hAnsi="Calibri" w:cs="Calibri"/>
          <w:color w:val="000000" w:themeColor="text1"/>
        </w:rPr>
        <w:t>survey</w:t>
      </w:r>
      <w:r w:rsidR="00294FA8">
        <w:rPr>
          <w:rFonts w:ascii="Calibri" w:eastAsia="Calibri" w:hAnsi="Calibri" w:cs="Calibri"/>
          <w:color w:val="000000" w:themeColor="text1"/>
        </w:rPr>
        <w:t xml:space="preserve"> of</w:t>
      </w:r>
      <w:r w:rsidR="26BFDC3D" w:rsidRPr="3E0F598F">
        <w:rPr>
          <w:rFonts w:ascii="Calibri" w:eastAsia="Calibri" w:hAnsi="Calibri" w:cs="Calibri"/>
          <w:color w:val="000000" w:themeColor="text1"/>
        </w:rPr>
        <w:t xml:space="preserve"> our members, we </w:t>
      </w:r>
      <w:r w:rsidR="00CC7162">
        <w:rPr>
          <w:rFonts w:ascii="Calibri" w:eastAsia="Calibri" w:hAnsi="Calibri" w:cs="Calibri"/>
          <w:color w:val="000000" w:themeColor="text1"/>
        </w:rPr>
        <w:t>generally support</w:t>
      </w:r>
      <w:r w:rsidR="027D8F47" w:rsidRPr="55D8653A">
        <w:rPr>
          <w:rFonts w:ascii="Calibri" w:eastAsia="Calibri" w:hAnsi="Calibri" w:cs="Calibri"/>
          <w:color w:val="000000" w:themeColor="text1"/>
        </w:rPr>
        <w:t xml:space="preserve"> </w:t>
      </w:r>
      <w:r w:rsidR="027D8F47" w:rsidRPr="6146E673">
        <w:rPr>
          <w:rFonts w:ascii="Calibri" w:eastAsia="Calibri" w:hAnsi="Calibri" w:cs="Calibri"/>
          <w:color w:val="000000" w:themeColor="text1"/>
        </w:rPr>
        <w:t>GSA’s assessment of the burden of TDR</w:t>
      </w:r>
      <w:r w:rsidR="00294FA8">
        <w:rPr>
          <w:rFonts w:ascii="Calibri" w:eastAsia="Calibri" w:hAnsi="Calibri" w:cs="Calibri"/>
          <w:color w:val="000000" w:themeColor="text1"/>
        </w:rPr>
        <w:t>,</w:t>
      </w:r>
      <w:r w:rsidR="00ED0126">
        <w:rPr>
          <w:rFonts w:ascii="Calibri" w:eastAsia="Calibri" w:hAnsi="Calibri" w:cs="Calibri"/>
          <w:color w:val="000000" w:themeColor="text1"/>
        </w:rPr>
        <w:t xml:space="preserve"> but </w:t>
      </w:r>
      <w:r w:rsidR="00294FA8">
        <w:rPr>
          <w:rFonts w:ascii="Calibri" w:eastAsia="Calibri" w:hAnsi="Calibri" w:cs="Calibri"/>
          <w:color w:val="000000" w:themeColor="text1"/>
        </w:rPr>
        <w:t xml:space="preserve">we </w:t>
      </w:r>
      <w:r w:rsidR="00ED0126">
        <w:rPr>
          <w:rFonts w:ascii="Calibri" w:eastAsia="Calibri" w:hAnsi="Calibri" w:cs="Calibri"/>
          <w:color w:val="000000" w:themeColor="text1"/>
        </w:rPr>
        <w:t xml:space="preserve">believe </w:t>
      </w:r>
      <w:r w:rsidR="00264C62">
        <w:rPr>
          <w:rFonts w:ascii="Calibri" w:eastAsia="Calibri" w:hAnsi="Calibri" w:cs="Calibri"/>
          <w:color w:val="000000" w:themeColor="text1"/>
        </w:rPr>
        <w:t>that it</w:t>
      </w:r>
      <w:r w:rsidR="027D8F47" w:rsidRPr="53FE8E56">
        <w:rPr>
          <w:rFonts w:ascii="Calibri" w:eastAsia="Calibri" w:hAnsi="Calibri" w:cs="Calibri"/>
          <w:color w:val="000000" w:themeColor="text1"/>
        </w:rPr>
        <w:t xml:space="preserve"> </w:t>
      </w:r>
      <w:r w:rsidR="027D8F47" w:rsidRPr="17B0A80A">
        <w:rPr>
          <w:rFonts w:ascii="Calibri" w:eastAsia="Calibri" w:hAnsi="Calibri" w:cs="Calibri"/>
          <w:color w:val="000000" w:themeColor="text1"/>
        </w:rPr>
        <w:t>underestimate</w:t>
      </w:r>
      <w:r w:rsidR="00264C62">
        <w:rPr>
          <w:rFonts w:ascii="Calibri" w:eastAsia="Calibri" w:hAnsi="Calibri" w:cs="Calibri"/>
          <w:color w:val="000000" w:themeColor="text1"/>
        </w:rPr>
        <w:t>s</w:t>
      </w:r>
      <w:r w:rsidR="027D8F47" w:rsidRPr="17B0A80A">
        <w:rPr>
          <w:rFonts w:ascii="Calibri" w:eastAsia="Calibri" w:hAnsi="Calibri" w:cs="Calibri"/>
          <w:color w:val="000000" w:themeColor="text1"/>
        </w:rPr>
        <w:t xml:space="preserve"> the </w:t>
      </w:r>
      <w:r w:rsidR="00264C62">
        <w:rPr>
          <w:rFonts w:ascii="Calibri" w:eastAsia="Calibri" w:hAnsi="Calibri" w:cs="Calibri"/>
          <w:color w:val="000000" w:themeColor="text1"/>
        </w:rPr>
        <w:t xml:space="preserve">average </w:t>
      </w:r>
      <w:r w:rsidR="027D8F47" w:rsidRPr="745E9202">
        <w:rPr>
          <w:rFonts w:ascii="Calibri" w:eastAsia="Calibri" w:hAnsi="Calibri" w:cs="Calibri"/>
          <w:color w:val="000000" w:themeColor="text1"/>
        </w:rPr>
        <w:t xml:space="preserve">burden of </w:t>
      </w:r>
      <w:r w:rsidR="027D8F47" w:rsidRPr="7FCD133B">
        <w:rPr>
          <w:rFonts w:ascii="Calibri" w:eastAsia="Calibri" w:hAnsi="Calibri" w:cs="Calibri"/>
          <w:color w:val="000000" w:themeColor="text1"/>
        </w:rPr>
        <w:t>automated reporting</w:t>
      </w:r>
      <w:r w:rsidR="00264C62">
        <w:rPr>
          <w:rFonts w:ascii="Calibri" w:eastAsia="Calibri" w:hAnsi="Calibri" w:cs="Calibri"/>
          <w:color w:val="000000" w:themeColor="text1"/>
        </w:rPr>
        <w:t xml:space="preserve"> in both absolute </w:t>
      </w:r>
      <w:proofErr w:type="gramStart"/>
      <w:r w:rsidR="00264C62">
        <w:rPr>
          <w:rFonts w:ascii="Calibri" w:eastAsia="Calibri" w:hAnsi="Calibri" w:cs="Calibri"/>
          <w:color w:val="000000" w:themeColor="text1"/>
        </w:rPr>
        <w:t>time</w:t>
      </w:r>
      <w:proofErr w:type="gramEnd"/>
      <w:r w:rsidR="00264C62">
        <w:rPr>
          <w:rFonts w:ascii="Calibri" w:eastAsia="Calibri" w:hAnsi="Calibri" w:cs="Calibri"/>
          <w:color w:val="000000" w:themeColor="text1"/>
        </w:rPr>
        <w:t xml:space="preserve"> required and the</w:t>
      </w:r>
      <w:r w:rsidR="0011096A">
        <w:rPr>
          <w:rFonts w:ascii="Calibri" w:eastAsia="Calibri" w:hAnsi="Calibri" w:cs="Calibri"/>
          <w:color w:val="000000" w:themeColor="text1"/>
        </w:rPr>
        <w:t xml:space="preserve"> complexity of the process</w:t>
      </w:r>
      <w:r w:rsidR="027D8F47" w:rsidRPr="7FCD133B">
        <w:rPr>
          <w:rFonts w:ascii="Calibri" w:eastAsia="Calibri" w:hAnsi="Calibri" w:cs="Calibri"/>
          <w:color w:val="000000" w:themeColor="text1"/>
        </w:rPr>
        <w:t>. F</w:t>
      </w:r>
      <w:r w:rsidR="442CD047" w:rsidRPr="7FCD133B">
        <w:rPr>
          <w:rFonts w:ascii="Calibri" w:eastAsia="Calibri" w:hAnsi="Calibri" w:cs="Calibri"/>
          <w:color w:val="000000" w:themeColor="text1"/>
        </w:rPr>
        <w:t>inally</w:t>
      </w:r>
      <w:r w:rsidR="26BFDC3D" w:rsidRPr="3E0F598F">
        <w:rPr>
          <w:rFonts w:ascii="Calibri" w:eastAsia="Calibri" w:hAnsi="Calibri" w:cs="Calibri"/>
          <w:color w:val="000000" w:themeColor="text1"/>
        </w:rPr>
        <w:t xml:space="preserve">, </w:t>
      </w:r>
      <w:r w:rsidR="655CE585" w:rsidRPr="3E0F598F">
        <w:rPr>
          <w:rFonts w:ascii="Calibri" w:eastAsia="Calibri" w:hAnsi="Calibri" w:cs="Calibri"/>
          <w:color w:val="000000" w:themeColor="text1"/>
        </w:rPr>
        <w:t>we make</w:t>
      </w:r>
      <w:r w:rsidR="514FDA17" w:rsidRPr="3E0F598F">
        <w:rPr>
          <w:rFonts w:ascii="Calibri" w:eastAsia="Calibri" w:hAnsi="Calibri" w:cs="Calibri"/>
          <w:color w:val="000000" w:themeColor="text1"/>
        </w:rPr>
        <w:t xml:space="preserve"> </w:t>
      </w:r>
      <w:r w:rsidR="56A626AE" w:rsidRPr="03660510">
        <w:rPr>
          <w:rFonts w:ascii="Calibri" w:eastAsia="Calibri" w:hAnsi="Calibri" w:cs="Calibri"/>
          <w:color w:val="000000" w:themeColor="text1"/>
        </w:rPr>
        <w:t>two</w:t>
      </w:r>
      <w:r w:rsidR="514FDA17" w:rsidRPr="3E0F598F">
        <w:rPr>
          <w:rFonts w:ascii="Calibri" w:eastAsia="Calibri" w:hAnsi="Calibri" w:cs="Calibri"/>
          <w:color w:val="000000" w:themeColor="text1"/>
        </w:rPr>
        <w:t xml:space="preserve"> recommendations which we believe will improve </w:t>
      </w:r>
      <w:r w:rsidR="3928E72D" w:rsidRPr="05550AA9">
        <w:rPr>
          <w:rFonts w:ascii="Calibri" w:eastAsia="Calibri" w:hAnsi="Calibri" w:cs="Calibri"/>
          <w:color w:val="000000" w:themeColor="text1"/>
        </w:rPr>
        <w:t>TDR</w:t>
      </w:r>
      <w:r w:rsidR="00ED0126">
        <w:rPr>
          <w:rFonts w:ascii="Calibri" w:eastAsia="Calibri" w:hAnsi="Calibri" w:cs="Calibri"/>
          <w:color w:val="000000" w:themeColor="text1"/>
        </w:rPr>
        <w:t>:</w:t>
      </w:r>
    </w:p>
    <w:p w14:paraId="02038419" w14:textId="5CF2E2CC" w:rsidR="3928E72D" w:rsidRDefault="3928E72D" w:rsidP="21EC31D8">
      <w:pPr>
        <w:spacing w:line="257" w:lineRule="auto"/>
        <w:ind w:firstLine="720"/>
        <w:rPr>
          <w:rFonts w:ascii="Calibri" w:eastAsia="Calibri" w:hAnsi="Calibri" w:cs="Calibri"/>
          <w:color w:val="000000" w:themeColor="text1"/>
        </w:rPr>
      </w:pPr>
      <w:r w:rsidRPr="05550AA9">
        <w:rPr>
          <w:rFonts w:ascii="Calibri" w:eastAsia="Calibri" w:hAnsi="Calibri" w:cs="Calibri"/>
          <w:color w:val="000000" w:themeColor="text1"/>
        </w:rPr>
        <w:t>1.</w:t>
      </w:r>
      <w:r w:rsidRPr="345CFDEE">
        <w:rPr>
          <w:rFonts w:ascii="Calibri" w:eastAsia="Calibri" w:hAnsi="Calibri" w:cs="Calibri"/>
          <w:color w:val="000000" w:themeColor="text1"/>
        </w:rPr>
        <w:t xml:space="preserve"> </w:t>
      </w:r>
      <w:r w:rsidR="00DD3B1F">
        <w:rPr>
          <w:rFonts w:ascii="Calibri" w:eastAsia="Calibri" w:hAnsi="Calibri" w:cs="Calibri"/>
          <w:color w:val="000000" w:themeColor="text1"/>
        </w:rPr>
        <w:t>Expand the use of</w:t>
      </w:r>
      <w:r w:rsidR="74098A63" w:rsidRPr="3CC1D901">
        <w:rPr>
          <w:rFonts w:ascii="Calibri" w:eastAsia="Calibri" w:hAnsi="Calibri" w:cs="Calibri"/>
          <w:color w:val="000000" w:themeColor="text1"/>
        </w:rPr>
        <w:t xml:space="preserve"> </w:t>
      </w:r>
      <w:r w:rsidR="1545FCF5" w:rsidRPr="3CC1D901">
        <w:rPr>
          <w:rFonts w:ascii="Calibri" w:eastAsia="Calibri" w:hAnsi="Calibri" w:cs="Calibri"/>
          <w:color w:val="000000" w:themeColor="text1"/>
        </w:rPr>
        <w:t>TDR</w:t>
      </w:r>
      <w:r w:rsidRPr="780F17A1">
        <w:rPr>
          <w:rFonts w:ascii="Calibri" w:eastAsia="Calibri" w:hAnsi="Calibri" w:cs="Calibri"/>
          <w:color w:val="000000" w:themeColor="text1"/>
        </w:rPr>
        <w:t xml:space="preserve"> as an</w:t>
      </w:r>
      <w:r w:rsidRPr="02AA5453">
        <w:rPr>
          <w:rFonts w:ascii="Calibri" w:eastAsia="Calibri" w:hAnsi="Calibri" w:cs="Calibri"/>
          <w:color w:val="000000" w:themeColor="text1"/>
        </w:rPr>
        <w:t xml:space="preserve"> option </w:t>
      </w:r>
      <w:r w:rsidRPr="0E18D58C">
        <w:rPr>
          <w:rFonts w:ascii="Calibri" w:eastAsia="Calibri" w:hAnsi="Calibri" w:cs="Calibri"/>
          <w:color w:val="000000" w:themeColor="text1"/>
        </w:rPr>
        <w:t xml:space="preserve">across </w:t>
      </w:r>
      <w:r w:rsidRPr="6AC6BF84">
        <w:rPr>
          <w:rFonts w:ascii="Calibri" w:eastAsia="Calibri" w:hAnsi="Calibri" w:cs="Calibri"/>
          <w:color w:val="000000" w:themeColor="text1"/>
        </w:rPr>
        <w:t xml:space="preserve">the </w:t>
      </w:r>
      <w:r w:rsidR="354D801F" w:rsidRPr="1A914CBD">
        <w:rPr>
          <w:rFonts w:ascii="Calibri" w:eastAsia="Calibri" w:hAnsi="Calibri" w:cs="Calibri"/>
          <w:color w:val="000000" w:themeColor="text1"/>
        </w:rPr>
        <w:t>MAS Program</w:t>
      </w:r>
    </w:p>
    <w:p w14:paraId="7C7E3944" w14:textId="7A2258E5" w:rsidR="3928E72D" w:rsidRDefault="1545FCF5" w:rsidP="21EC31D8">
      <w:pPr>
        <w:spacing w:line="257" w:lineRule="auto"/>
        <w:ind w:firstLine="720"/>
        <w:rPr>
          <w:rFonts w:ascii="Calibri" w:eastAsia="Calibri" w:hAnsi="Calibri" w:cs="Calibri"/>
          <w:color w:val="000000" w:themeColor="text1"/>
        </w:rPr>
      </w:pPr>
      <w:r w:rsidRPr="24DE4433">
        <w:rPr>
          <w:rFonts w:ascii="Calibri" w:eastAsia="Calibri" w:hAnsi="Calibri" w:cs="Calibri"/>
          <w:color w:val="000000" w:themeColor="text1"/>
        </w:rPr>
        <w:t>2.</w:t>
      </w:r>
      <w:r w:rsidR="11CA309B" w:rsidRPr="24DE4433">
        <w:rPr>
          <w:rFonts w:ascii="Calibri" w:eastAsia="Calibri" w:hAnsi="Calibri" w:cs="Calibri"/>
          <w:color w:val="000000" w:themeColor="text1"/>
        </w:rPr>
        <w:t xml:space="preserve"> </w:t>
      </w:r>
      <w:r w:rsidR="00DD3B1F">
        <w:rPr>
          <w:rFonts w:ascii="Calibri" w:eastAsia="Calibri" w:hAnsi="Calibri" w:cs="Calibri"/>
          <w:color w:val="000000" w:themeColor="text1"/>
        </w:rPr>
        <w:t>Provide f</w:t>
      </w:r>
      <w:r w:rsidR="54A5370B" w:rsidRPr="24DE4433">
        <w:rPr>
          <w:rFonts w:ascii="Calibri" w:eastAsia="Calibri" w:hAnsi="Calibri" w:cs="Calibri"/>
          <w:color w:val="000000" w:themeColor="text1"/>
        </w:rPr>
        <w:t xml:space="preserve">urther training and policy on </w:t>
      </w:r>
      <w:r w:rsidR="54A5370B" w:rsidRPr="167DB09F">
        <w:rPr>
          <w:rFonts w:ascii="Calibri" w:eastAsia="Calibri" w:hAnsi="Calibri" w:cs="Calibri"/>
          <w:color w:val="000000" w:themeColor="text1"/>
        </w:rPr>
        <w:t xml:space="preserve">the use of TDR data </w:t>
      </w:r>
      <w:r w:rsidR="54A5370B" w:rsidRPr="453E47DF">
        <w:rPr>
          <w:rFonts w:ascii="Calibri" w:eastAsia="Calibri" w:hAnsi="Calibri" w:cs="Calibri"/>
          <w:color w:val="000000" w:themeColor="text1"/>
        </w:rPr>
        <w:t>is critical</w:t>
      </w:r>
    </w:p>
    <w:p w14:paraId="4232B5FB" w14:textId="1AC4151C" w:rsidR="00795103" w:rsidRDefault="692FEDCC" w:rsidP="3E0F598F">
      <w:pPr>
        <w:spacing w:line="257" w:lineRule="auto"/>
        <w:rPr>
          <w:rFonts w:ascii="Calibri" w:eastAsia="Calibri" w:hAnsi="Calibri" w:cs="Calibri"/>
          <w:color w:val="000000" w:themeColor="text1"/>
        </w:rPr>
      </w:pPr>
      <w:r w:rsidRPr="3E0F598F">
        <w:rPr>
          <w:rFonts w:ascii="Calibri" w:eastAsia="Calibri" w:hAnsi="Calibri" w:cs="Calibri"/>
          <w:b/>
          <w:bCs/>
        </w:rPr>
        <w:t>Transactional Data Reporting: A Natural, Useful Evolution of the Price Reductions Clause</w:t>
      </w:r>
    </w:p>
    <w:p w14:paraId="4FFBB461" w14:textId="10FDA1CD" w:rsidR="00795103" w:rsidRDefault="692FEDCC" w:rsidP="3E0F598F">
      <w:pPr>
        <w:pStyle w:val="ListParagraph"/>
        <w:numPr>
          <w:ilvl w:val="0"/>
          <w:numId w:val="1"/>
        </w:numPr>
        <w:rPr>
          <w:rFonts w:ascii="Calibri" w:eastAsia="Calibri" w:hAnsi="Calibri" w:cs="Calibri"/>
          <w:i/>
          <w:iCs/>
        </w:rPr>
      </w:pPr>
      <w:r w:rsidRPr="3E0F598F">
        <w:rPr>
          <w:rFonts w:ascii="Calibri" w:eastAsia="Calibri" w:hAnsi="Calibri" w:cs="Calibri"/>
          <w:i/>
          <w:iCs/>
        </w:rPr>
        <w:t>The Utility of TDR</w:t>
      </w:r>
    </w:p>
    <w:p w14:paraId="7BFA7C6A" w14:textId="2AA6E711" w:rsidR="00795103" w:rsidRDefault="692FEDCC" w:rsidP="3E0F598F">
      <w:pPr>
        <w:spacing w:line="257" w:lineRule="auto"/>
      </w:pPr>
      <w:r w:rsidRPr="3E0F598F">
        <w:rPr>
          <w:rFonts w:ascii="Calibri" w:eastAsia="Calibri" w:hAnsi="Calibri" w:cs="Calibri"/>
        </w:rPr>
        <w:t xml:space="preserve">The Coalition supports extending TDR as an option for all Special Item Numbers (SINs) under the MAS program. </w:t>
      </w:r>
      <w:r w:rsidR="003B4FF6">
        <w:rPr>
          <w:rFonts w:ascii="Calibri" w:eastAsia="Calibri" w:hAnsi="Calibri" w:cs="Calibri"/>
        </w:rPr>
        <w:t>I</w:t>
      </w:r>
      <w:r w:rsidRPr="3E0F598F">
        <w:rPr>
          <w:rFonts w:ascii="Calibri" w:eastAsia="Calibri" w:hAnsi="Calibri" w:cs="Calibri"/>
        </w:rPr>
        <w:t xml:space="preserve">n response to the GSA Office of the Inspector General’s September 30, </w:t>
      </w:r>
      <w:proofErr w:type="gramStart"/>
      <w:r w:rsidRPr="3E0F598F">
        <w:rPr>
          <w:rFonts w:ascii="Calibri" w:eastAsia="Calibri" w:hAnsi="Calibri" w:cs="Calibri"/>
        </w:rPr>
        <w:t>2022</w:t>
      </w:r>
      <w:proofErr w:type="gramEnd"/>
      <w:r w:rsidRPr="3E0F598F">
        <w:rPr>
          <w:rFonts w:ascii="Calibri" w:eastAsia="Calibri" w:hAnsi="Calibri" w:cs="Calibri"/>
        </w:rPr>
        <w:t xml:space="preserve"> report on MAS Contract Pricing</w:t>
      </w:r>
      <w:r w:rsidR="00DD3B1F">
        <w:rPr>
          <w:rFonts w:ascii="Calibri" w:eastAsia="Calibri" w:hAnsi="Calibri" w:cs="Calibri"/>
        </w:rPr>
        <w:t xml:space="preserve">, Federal Acquisition Service </w:t>
      </w:r>
      <w:r w:rsidR="003B4FF6">
        <w:rPr>
          <w:rFonts w:ascii="Calibri" w:eastAsia="Calibri" w:hAnsi="Calibri" w:cs="Calibri"/>
        </w:rPr>
        <w:t>Commissioner Hashmi stated</w:t>
      </w:r>
      <w:r w:rsidRPr="3E0F598F">
        <w:rPr>
          <w:rFonts w:ascii="Calibri" w:eastAsia="Calibri" w:hAnsi="Calibri" w:cs="Calibri"/>
        </w:rPr>
        <w:t>:</w:t>
      </w:r>
    </w:p>
    <w:p w14:paraId="3B46C579" w14:textId="46DFA72B" w:rsidR="00795103" w:rsidRDefault="692FEDCC" w:rsidP="00255445">
      <w:pPr>
        <w:spacing w:line="257" w:lineRule="auto"/>
        <w:ind w:left="720" w:right="720"/>
      </w:pPr>
      <w:r w:rsidRPr="3E0F598F">
        <w:rPr>
          <w:rFonts w:ascii="Calibri" w:eastAsia="Calibri" w:hAnsi="Calibri" w:cs="Calibri"/>
          <w:i/>
          <w:iCs/>
        </w:rPr>
        <w:t xml:space="preserve">We see transactional data as one of the keys to achieving more modern business practices. TDR improves stewardship of taxpayer dollars by empowering customer agencies to engage in smarter buying behaviors and reduces administrative burden for easier access to the Federal Marketplace. This includes assisting the Government with implementing important public policy objectives such as: </w:t>
      </w:r>
    </w:p>
    <w:p w14:paraId="2971A58C" w14:textId="3AA1533A" w:rsidR="00795103" w:rsidRDefault="692FEDCC" w:rsidP="00255445">
      <w:pPr>
        <w:spacing w:line="257" w:lineRule="auto"/>
        <w:ind w:left="720" w:right="720"/>
      </w:pPr>
      <w:r w:rsidRPr="3E0F598F">
        <w:rPr>
          <w:rFonts w:ascii="Calibri" w:eastAsia="Calibri" w:hAnsi="Calibri" w:cs="Calibri"/>
          <w:i/>
          <w:iCs/>
        </w:rPr>
        <w:t>• protecting national security through supply chain risk management,</w:t>
      </w:r>
    </w:p>
    <w:p w14:paraId="74730690" w14:textId="5C242B45" w:rsidR="00795103" w:rsidRDefault="692FEDCC" w:rsidP="00255445">
      <w:pPr>
        <w:spacing w:line="257" w:lineRule="auto"/>
        <w:ind w:left="720" w:right="720"/>
      </w:pPr>
      <w:r w:rsidRPr="3E0F598F">
        <w:rPr>
          <w:rFonts w:ascii="Calibri" w:eastAsia="Calibri" w:hAnsi="Calibri" w:cs="Calibri"/>
          <w:i/>
          <w:iCs/>
        </w:rPr>
        <w:lastRenderedPageBreak/>
        <w:t xml:space="preserve">• reducing the impact of climate change through sustainable acquisition, </w:t>
      </w:r>
    </w:p>
    <w:p w14:paraId="5B211200" w14:textId="4F0794CA" w:rsidR="00795103" w:rsidRDefault="692FEDCC" w:rsidP="00255445">
      <w:pPr>
        <w:spacing w:line="257" w:lineRule="auto"/>
        <w:ind w:left="720" w:right="720"/>
      </w:pPr>
      <w:r w:rsidRPr="3E0F598F">
        <w:rPr>
          <w:rFonts w:ascii="Calibri" w:eastAsia="Calibri" w:hAnsi="Calibri" w:cs="Calibri"/>
          <w:i/>
          <w:iCs/>
        </w:rPr>
        <w:t xml:space="preserve">• reducing regulatory and administrative burden and, </w:t>
      </w:r>
    </w:p>
    <w:p w14:paraId="3A281D4C" w14:textId="3F9A56C0" w:rsidR="00795103" w:rsidRDefault="692FEDCC" w:rsidP="00255445">
      <w:pPr>
        <w:tabs>
          <w:tab w:val="left" w:pos="5685"/>
        </w:tabs>
        <w:spacing w:line="257" w:lineRule="auto"/>
        <w:ind w:left="720" w:right="720"/>
        <w:rPr>
          <w:rFonts w:ascii="Calibri" w:eastAsia="Calibri" w:hAnsi="Calibri" w:cs="Calibri"/>
          <w:i/>
          <w:iCs/>
        </w:rPr>
      </w:pPr>
      <w:r w:rsidRPr="3E0F598F">
        <w:rPr>
          <w:rFonts w:ascii="Calibri" w:eastAsia="Calibri" w:hAnsi="Calibri" w:cs="Calibri"/>
          <w:i/>
          <w:iCs/>
        </w:rPr>
        <w:t>• reducing pricing in the MAS Program.</w:t>
      </w:r>
      <w:r w:rsidR="00FF3E80">
        <w:tab/>
      </w:r>
    </w:p>
    <w:p w14:paraId="1CDAF85A" w14:textId="6A845DAB" w:rsidR="00795103" w:rsidRDefault="692FEDCC" w:rsidP="3E0F598F">
      <w:pPr>
        <w:spacing w:line="257" w:lineRule="auto"/>
      </w:pPr>
      <w:r w:rsidRPr="3E0F598F">
        <w:rPr>
          <w:rFonts w:ascii="Calibri" w:eastAsia="Calibri" w:hAnsi="Calibri" w:cs="Calibri"/>
        </w:rPr>
        <w:t xml:space="preserve">We agree that transactional data potentially serves many valuable objectives. </w:t>
      </w:r>
      <w:proofErr w:type="gramStart"/>
      <w:r w:rsidR="003B4FF6">
        <w:rPr>
          <w:rFonts w:ascii="Calibri" w:eastAsia="Calibri" w:hAnsi="Calibri" w:cs="Calibri"/>
        </w:rPr>
        <w:t>In particular,</w:t>
      </w:r>
      <w:r w:rsidRPr="3E0F598F">
        <w:rPr>
          <w:rFonts w:ascii="Calibri" w:eastAsia="Calibri" w:hAnsi="Calibri" w:cs="Calibri"/>
        </w:rPr>
        <w:t xml:space="preserve"> TDR</w:t>
      </w:r>
      <w:proofErr w:type="gramEnd"/>
      <w:r w:rsidRPr="3E0F598F">
        <w:rPr>
          <w:rFonts w:ascii="Calibri" w:eastAsia="Calibri" w:hAnsi="Calibri" w:cs="Calibri"/>
        </w:rPr>
        <w:t xml:space="preserve"> reduces the regulatory and administrative burden in the Federal marketplace. </w:t>
      </w:r>
      <w:r w:rsidR="020803FC" w:rsidRPr="3E0F598F">
        <w:rPr>
          <w:rFonts w:ascii="Calibri" w:eastAsia="Calibri" w:hAnsi="Calibri" w:cs="Calibri"/>
        </w:rPr>
        <w:t>Contractors</w:t>
      </w:r>
      <w:r w:rsidRPr="3E0F598F">
        <w:rPr>
          <w:rFonts w:ascii="Calibri" w:eastAsia="Calibri" w:hAnsi="Calibri" w:cs="Calibri"/>
        </w:rPr>
        <w:t xml:space="preserve"> </w:t>
      </w:r>
      <w:r w:rsidR="001F7216">
        <w:rPr>
          <w:rFonts w:ascii="Calibri" w:eastAsia="Calibri" w:hAnsi="Calibri" w:cs="Calibri"/>
        </w:rPr>
        <w:t>that</w:t>
      </w:r>
      <w:r w:rsidRPr="3E0F598F">
        <w:rPr>
          <w:rFonts w:ascii="Calibri" w:eastAsia="Calibri" w:hAnsi="Calibri" w:cs="Calibri"/>
        </w:rPr>
        <w:t xml:space="preserve"> transition to </w:t>
      </w:r>
      <w:r w:rsidR="003825F8">
        <w:rPr>
          <w:rFonts w:ascii="Calibri" w:eastAsia="Calibri" w:hAnsi="Calibri" w:cs="Calibri"/>
        </w:rPr>
        <w:t>the use of TDR</w:t>
      </w:r>
      <w:r w:rsidR="001F7216">
        <w:rPr>
          <w:rFonts w:ascii="Calibri" w:eastAsia="Calibri" w:hAnsi="Calibri" w:cs="Calibri"/>
        </w:rPr>
        <w:t xml:space="preserve"> </w:t>
      </w:r>
      <w:r w:rsidRPr="3E0F598F">
        <w:rPr>
          <w:rFonts w:ascii="Calibri" w:eastAsia="Calibri" w:hAnsi="Calibri" w:cs="Calibri"/>
        </w:rPr>
        <w:t xml:space="preserve">(or new contractors who are participating in </w:t>
      </w:r>
      <w:r w:rsidR="1522B1B0" w:rsidRPr="3E0F598F">
        <w:rPr>
          <w:rFonts w:ascii="Calibri" w:eastAsia="Calibri" w:hAnsi="Calibri" w:cs="Calibri"/>
        </w:rPr>
        <w:t>certain FSS</w:t>
      </w:r>
      <w:r w:rsidRPr="3E0F598F">
        <w:rPr>
          <w:rFonts w:ascii="Calibri" w:eastAsia="Calibri" w:hAnsi="Calibri" w:cs="Calibri"/>
        </w:rPr>
        <w:t>, GWAC</w:t>
      </w:r>
      <w:r w:rsidR="001F7216">
        <w:rPr>
          <w:rFonts w:ascii="Calibri" w:eastAsia="Calibri" w:hAnsi="Calibri" w:cs="Calibri"/>
        </w:rPr>
        <w:t>,</w:t>
      </w:r>
      <w:r w:rsidRPr="3E0F598F">
        <w:rPr>
          <w:rFonts w:ascii="Calibri" w:eastAsia="Calibri" w:hAnsi="Calibri" w:cs="Calibri"/>
        </w:rPr>
        <w:t xml:space="preserve"> or IDIQ</w:t>
      </w:r>
      <w:r w:rsidR="1378170C" w:rsidRPr="3E0F598F">
        <w:rPr>
          <w:rFonts w:ascii="Calibri" w:eastAsia="Calibri" w:hAnsi="Calibri" w:cs="Calibri"/>
        </w:rPr>
        <w:t xml:space="preserve"> contracts</w:t>
      </w:r>
      <w:r w:rsidRPr="3E0F598F">
        <w:rPr>
          <w:rFonts w:ascii="Calibri" w:eastAsia="Calibri" w:hAnsi="Calibri" w:cs="Calibri"/>
        </w:rPr>
        <w:t xml:space="preserve"> for whom TDR is mandatory) </w:t>
      </w:r>
      <w:r w:rsidR="00AD03A0">
        <w:rPr>
          <w:rFonts w:ascii="Calibri" w:eastAsia="Calibri" w:hAnsi="Calibri" w:cs="Calibri"/>
        </w:rPr>
        <w:t xml:space="preserve">no longer are required </w:t>
      </w:r>
      <w:r w:rsidRPr="3E0F598F">
        <w:rPr>
          <w:rFonts w:ascii="Calibri" w:eastAsia="Calibri" w:hAnsi="Calibri" w:cs="Calibri"/>
        </w:rPr>
        <w:t>to disclose their</w:t>
      </w:r>
      <w:r w:rsidR="0079061C">
        <w:rPr>
          <w:rFonts w:ascii="Calibri" w:eastAsia="Calibri" w:hAnsi="Calibri" w:cs="Calibri"/>
        </w:rPr>
        <w:t xml:space="preserve"> </w:t>
      </w:r>
      <w:r w:rsidRPr="3E0F598F">
        <w:rPr>
          <w:rFonts w:ascii="Calibri" w:eastAsia="Calibri" w:hAnsi="Calibri" w:cs="Calibri"/>
        </w:rPr>
        <w:t xml:space="preserve">CSP under the MAS Requests for Information Other Than Cost or Pricing Data clause, Alternate IV of FAR 52.215-20 (almost always using the suggested Commercial Sales Practices Format (CSPF-1), even though it is not </w:t>
      </w:r>
      <w:r w:rsidRPr="3E0F598F">
        <w:rPr>
          <w:rFonts w:ascii="Calibri" w:eastAsia="Calibri" w:hAnsi="Calibri" w:cs="Calibri"/>
          <w:i/>
          <w:iCs/>
        </w:rPr>
        <w:t>de jure</w:t>
      </w:r>
      <w:r w:rsidRPr="3E0F598F">
        <w:rPr>
          <w:rFonts w:ascii="Calibri" w:eastAsia="Calibri" w:hAnsi="Calibri" w:cs="Calibri"/>
        </w:rPr>
        <w:t xml:space="preserve"> required) when negotiating a new Schedule contract</w:t>
      </w:r>
      <w:r w:rsidR="00F419AC">
        <w:rPr>
          <w:rFonts w:ascii="Calibri" w:eastAsia="Calibri" w:hAnsi="Calibri" w:cs="Calibri"/>
        </w:rPr>
        <w:t xml:space="preserve">.  So too, </w:t>
      </w:r>
      <w:r w:rsidR="00652681">
        <w:rPr>
          <w:rFonts w:ascii="Calibri" w:eastAsia="Calibri" w:hAnsi="Calibri" w:cs="Calibri"/>
        </w:rPr>
        <w:t>relying on TDR eliminates the need</w:t>
      </w:r>
      <w:r w:rsidRPr="3E0F598F">
        <w:rPr>
          <w:rFonts w:ascii="Calibri" w:eastAsia="Calibri" w:hAnsi="Calibri" w:cs="Calibri"/>
        </w:rPr>
        <w:t xml:space="preserve"> to comply with the PRC</w:t>
      </w:r>
      <w:r w:rsidR="005A37CC">
        <w:rPr>
          <w:rFonts w:ascii="Calibri" w:eastAsia="Calibri" w:hAnsi="Calibri" w:cs="Calibri"/>
        </w:rPr>
        <w:t>.</w:t>
      </w:r>
      <w:r w:rsidR="005A37CC">
        <w:rPr>
          <w:rStyle w:val="FootnoteReference"/>
          <w:rFonts w:ascii="Calibri" w:eastAsia="Calibri" w:hAnsi="Calibri" w:cs="Calibri"/>
        </w:rPr>
        <w:footnoteReference w:id="2"/>
      </w:r>
      <w:r w:rsidRPr="3E0F598F">
        <w:rPr>
          <w:rFonts w:ascii="Calibri" w:eastAsia="Calibri" w:hAnsi="Calibri" w:cs="Calibri"/>
        </w:rPr>
        <w:t xml:space="preserve"> </w:t>
      </w:r>
    </w:p>
    <w:p w14:paraId="577FE3AF" w14:textId="77AE314C" w:rsidR="00795103" w:rsidRDefault="005C0073" w:rsidP="3E0F598F">
      <w:pPr>
        <w:spacing w:line="257" w:lineRule="auto"/>
      </w:pPr>
      <w:r w:rsidRPr="005C0073">
        <w:rPr>
          <w:rFonts w:ascii="Calibri" w:eastAsia="Calibri" w:hAnsi="Calibri" w:cs="Calibri"/>
        </w:rPr>
        <w:t xml:space="preserve">When initially establishing a MAS contract, the CSP requires the contractor to disclose its standard commercial practices and its best discounts and concessions so that GSA can negotiate a price at the MAS contract level that is as close as possible to the prices and discounts that the contractor grants its most favored customer. </w:t>
      </w:r>
      <w:r w:rsidR="7560EEB6" w:rsidRPr="3E0F598F">
        <w:rPr>
          <w:rFonts w:ascii="Calibri" w:eastAsia="Calibri" w:hAnsi="Calibri" w:cs="Calibri"/>
        </w:rPr>
        <w:t>GSA</w:t>
      </w:r>
      <w:r w:rsidR="692FEDCC" w:rsidRPr="3E0F598F">
        <w:rPr>
          <w:rFonts w:ascii="Calibri" w:eastAsia="Calibri" w:hAnsi="Calibri" w:cs="Calibri"/>
        </w:rPr>
        <w:t xml:space="preserve"> then seeks to maintain that contract level pricing and discount position throughout the life of the MAS contract through the PRC. Prior to the award of the contract, the offeror and contracting officer “agree upon (1) the customer (or category of customers) which will be the basis of award, and (2) the Government’s price or discount relationship to the identified customer (or category of customers).”</w:t>
      </w:r>
      <w:r w:rsidR="0015063B">
        <w:rPr>
          <w:rStyle w:val="FootnoteReference"/>
          <w:rFonts w:ascii="Calibri" w:eastAsia="Calibri" w:hAnsi="Calibri" w:cs="Calibri"/>
        </w:rPr>
        <w:footnoteReference w:id="3"/>
      </w:r>
      <w:r w:rsidR="692FEDCC" w:rsidRPr="3E0F598F">
        <w:rPr>
          <w:rFonts w:ascii="Calibri" w:eastAsia="Calibri" w:hAnsi="Calibri" w:cs="Calibri"/>
        </w:rPr>
        <w:t xml:space="preserve"> Contractors must report all price reductions offered to the BOA customer for the life of the contract. Unless an exemption applies, the MAS contract price will be lowered to reflect the applicable price reduction, including for any task orders made against the contract during the time between the triggering offer/sale and its report.</w:t>
      </w:r>
    </w:p>
    <w:p w14:paraId="3DB57F37" w14:textId="49467389" w:rsidR="00795103" w:rsidRDefault="30C226BA" w:rsidP="3E0F598F">
      <w:pPr>
        <w:spacing w:line="257" w:lineRule="auto"/>
        <w:rPr>
          <w:rFonts w:ascii="Calibri" w:eastAsia="Calibri" w:hAnsi="Calibri" w:cs="Calibri"/>
        </w:rPr>
      </w:pPr>
      <w:r w:rsidRPr="3E0F598F">
        <w:rPr>
          <w:rFonts w:ascii="Calibri" w:eastAsia="Calibri" w:hAnsi="Calibri" w:cs="Calibri"/>
        </w:rPr>
        <w:t xml:space="preserve">The </w:t>
      </w:r>
      <w:r w:rsidR="00511D58">
        <w:rPr>
          <w:rFonts w:ascii="Calibri" w:eastAsia="Calibri" w:hAnsi="Calibri" w:cs="Calibri"/>
        </w:rPr>
        <w:t xml:space="preserve">use of the </w:t>
      </w:r>
      <w:r w:rsidRPr="3E0F598F">
        <w:rPr>
          <w:rFonts w:ascii="Calibri" w:eastAsia="Calibri" w:hAnsi="Calibri" w:cs="Calibri"/>
        </w:rPr>
        <w:t xml:space="preserve">PRC and CSP </w:t>
      </w:r>
      <w:r w:rsidR="00511D58">
        <w:rPr>
          <w:rFonts w:ascii="Calibri" w:eastAsia="Calibri" w:hAnsi="Calibri" w:cs="Calibri"/>
        </w:rPr>
        <w:t xml:space="preserve">is </w:t>
      </w:r>
      <w:r w:rsidRPr="3E0F598F">
        <w:rPr>
          <w:rFonts w:ascii="Calibri" w:eastAsia="Calibri" w:hAnsi="Calibri" w:cs="Calibri"/>
        </w:rPr>
        <w:t xml:space="preserve">part </w:t>
      </w:r>
      <w:r w:rsidR="7341D29A" w:rsidRPr="3E0F598F">
        <w:rPr>
          <w:rFonts w:ascii="Calibri" w:eastAsia="Calibri" w:hAnsi="Calibri" w:cs="Calibri"/>
        </w:rPr>
        <w:t xml:space="preserve">of GSA’s effort to ensure that the MAS program </w:t>
      </w:r>
      <w:r w:rsidR="00195C6A">
        <w:rPr>
          <w:rFonts w:ascii="Calibri" w:eastAsia="Calibri" w:hAnsi="Calibri" w:cs="Calibri"/>
        </w:rPr>
        <w:t xml:space="preserve">fulfills </w:t>
      </w:r>
      <w:r w:rsidR="7341D29A" w:rsidRPr="3E0F598F">
        <w:rPr>
          <w:rFonts w:ascii="Calibri" w:eastAsia="Calibri" w:hAnsi="Calibri" w:cs="Calibri"/>
        </w:rPr>
        <w:t xml:space="preserve">its mandate under the Competition in Contracting Act (CICA) to provide the </w:t>
      </w:r>
      <w:r w:rsidR="7341D29A" w:rsidRPr="00974982">
        <w:rPr>
          <w:rFonts w:ascii="Calibri" w:eastAsia="Calibri" w:hAnsi="Calibri" w:cs="Calibri"/>
          <w:color w:val="000000" w:themeColor="text1"/>
        </w:rPr>
        <w:t>“lowest overall cost alternative to meet the needs of the Federal Government.”</w:t>
      </w:r>
      <w:r w:rsidR="3D0A99DE" w:rsidRPr="00974982">
        <w:rPr>
          <w:rFonts w:ascii="Calibri" w:eastAsia="Calibri" w:hAnsi="Calibri" w:cs="Calibri"/>
          <w:color w:val="000000" w:themeColor="text1"/>
        </w:rPr>
        <w:t xml:space="preserve"> </w:t>
      </w:r>
      <w:r w:rsidR="11D01C44" w:rsidRPr="3E0F598F">
        <w:rPr>
          <w:rFonts w:ascii="Calibri" w:eastAsia="Calibri" w:hAnsi="Calibri" w:cs="Calibri"/>
        </w:rPr>
        <w:t>A</w:t>
      </w:r>
      <w:r w:rsidR="7AB553E5" w:rsidRPr="3E0F598F">
        <w:rPr>
          <w:rFonts w:ascii="Calibri" w:eastAsia="Calibri" w:hAnsi="Calibri" w:cs="Calibri"/>
        </w:rPr>
        <w:t>s</w:t>
      </w:r>
      <w:r w:rsidR="3D0A99DE" w:rsidRPr="3E0F598F">
        <w:rPr>
          <w:rFonts w:ascii="Calibri" w:eastAsia="Calibri" w:hAnsi="Calibri" w:cs="Calibri"/>
        </w:rPr>
        <w:t xml:space="preserve"> </w:t>
      </w:r>
      <w:r w:rsidR="11D01C44" w:rsidRPr="3E0F598F">
        <w:rPr>
          <w:rFonts w:ascii="Calibri" w:eastAsia="Calibri" w:hAnsi="Calibri" w:cs="Calibri"/>
        </w:rPr>
        <w:t xml:space="preserve">GSA itself </w:t>
      </w:r>
      <w:r w:rsidR="00350CA5">
        <w:rPr>
          <w:rFonts w:ascii="Calibri" w:eastAsia="Calibri" w:hAnsi="Calibri" w:cs="Calibri"/>
        </w:rPr>
        <w:t>recognizes</w:t>
      </w:r>
      <w:r w:rsidR="00FF3E80" w:rsidRPr="3E0F598F">
        <w:rPr>
          <w:rStyle w:val="FootnoteReference"/>
          <w:rFonts w:ascii="Calibri" w:eastAsia="Calibri" w:hAnsi="Calibri" w:cs="Calibri"/>
        </w:rPr>
        <w:footnoteReference w:id="4"/>
      </w:r>
      <w:r w:rsidR="11D01C44" w:rsidRPr="3E0F598F">
        <w:rPr>
          <w:rFonts w:ascii="Calibri" w:eastAsia="Calibri" w:hAnsi="Calibri" w:cs="Calibri"/>
        </w:rPr>
        <w:t xml:space="preserve">, </w:t>
      </w:r>
      <w:r w:rsidR="001963B1">
        <w:rPr>
          <w:rFonts w:ascii="Calibri" w:eastAsia="Calibri" w:hAnsi="Calibri" w:cs="Calibri"/>
        </w:rPr>
        <w:t xml:space="preserve">however, </w:t>
      </w:r>
      <w:r w:rsidR="11D01C44" w:rsidRPr="3E0F598F">
        <w:rPr>
          <w:rFonts w:ascii="Calibri" w:eastAsia="Calibri" w:hAnsi="Calibri" w:cs="Calibri"/>
        </w:rPr>
        <w:t>proble</w:t>
      </w:r>
      <w:r w:rsidR="23A01ED3" w:rsidRPr="3E0F598F">
        <w:rPr>
          <w:rFonts w:ascii="Calibri" w:eastAsia="Calibri" w:hAnsi="Calibri" w:cs="Calibri"/>
        </w:rPr>
        <w:t>m</w:t>
      </w:r>
      <w:r w:rsidR="11D01C44" w:rsidRPr="3E0F598F">
        <w:rPr>
          <w:rFonts w:ascii="Calibri" w:eastAsia="Calibri" w:hAnsi="Calibri" w:cs="Calibri"/>
        </w:rPr>
        <w:t xml:space="preserve">s </w:t>
      </w:r>
      <w:r w:rsidR="3D0A99DE" w:rsidRPr="3E0F598F">
        <w:rPr>
          <w:rFonts w:ascii="Calibri" w:eastAsia="Calibri" w:hAnsi="Calibri" w:cs="Calibri"/>
        </w:rPr>
        <w:t>with the design of th</w:t>
      </w:r>
      <w:r w:rsidR="721CBA06" w:rsidRPr="3E0F598F">
        <w:rPr>
          <w:rFonts w:ascii="Calibri" w:eastAsia="Calibri" w:hAnsi="Calibri" w:cs="Calibri"/>
        </w:rPr>
        <w:t xml:space="preserve">e PRC and CSP </w:t>
      </w:r>
      <w:r w:rsidR="00E90A01">
        <w:rPr>
          <w:rFonts w:ascii="Calibri" w:eastAsia="Calibri" w:hAnsi="Calibri" w:cs="Calibri"/>
        </w:rPr>
        <w:t>indicate</w:t>
      </w:r>
      <w:r w:rsidR="06DC949C" w:rsidRPr="3E0F598F">
        <w:rPr>
          <w:rFonts w:ascii="Calibri" w:eastAsia="Calibri" w:hAnsi="Calibri" w:cs="Calibri"/>
        </w:rPr>
        <w:t xml:space="preserve"> </w:t>
      </w:r>
      <w:r w:rsidR="721CBA06" w:rsidRPr="3E0F598F">
        <w:rPr>
          <w:rFonts w:ascii="Calibri" w:eastAsia="Calibri" w:hAnsi="Calibri" w:cs="Calibri"/>
        </w:rPr>
        <w:t xml:space="preserve">that it is not well-suited </w:t>
      </w:r>
      <w:r w:rsidR="0C63B10A" w:rsidRPr="3E0F598F">
        <w:rPr>
          <w:rFonts w:ascii="Calibri" w:eastAsia="Calibri" w:hAnsi="Calibri" w:cs="Calibri"/>
        </w:rPr>
        <w:t xml:space="preserve">for </w:t>
      </w:r>
      <w:r w:rsidR="721CBA06" w:rsidRPr="3E0F598F">
        <w:rPr>
          <w:rFonts w:ascii="Calibri" w:eastAsia="Calibri" w:hAnsi="Calibri" w:cs="Calibri"/>
        </w:rPr>
        <w:t>this goal</w:t>
      </w:r>
      <w:r w:rsidR="00E90A01">
        <w:rPr>
          <w:rFonts w:ascii="Calibri" w:eastAsia="Calibri" w:hAnsi="Calibri" w:cs="Calibri"/>
        </w:rPr>
        <w:t xml:space="preserve"> in the current environment</w:t>
      </w:r>
      <w:r w:rsidR="3D0A99DE" w:rsidRPr="3E0F598F">
        <w:rPr>
          <w:rFonts w:ascii="Calibri" w:eastAsia="Calibri" w:hAnsi="Calibri" w:cs="Calibri"/>
        </w:rPr>
        <w:t xml:space="preserve">. </w:t>
      </w:r>
      <w:r w:rsidR="45C41B5F" w:rsidRPr="3E0F598F">
        <w:rPr>
          <w:rFonts w:ascii="Calibri" w:eastAsia="Calibri" w:hAnsi="Calibri" w:cs="Calibri"/>
        </w:rPr>
        <w:t>Fundamentally, the</w:t>
      </w:r>
      <w:r w:rsidR="00DF5BA1">
        <w:rPr>
          <w:rFonts w:ascii="Calibri" w:eastAsia="Calibri" w:hAnsi="Calibri" w:cs="Calibri"/>
        </w:rPr>
        <w:t>y impose</w:t>
      </w:r>
      <w:r w:rsidR="3D0A99DE" w:rsidRPr="3E0F598F">
        <w:rPr>
          <w:rFonts w:ascii="Calibri" w:eastAsia="Calibri" w:hAnsi="Calibri" w:cs="Calibri"/>
        </w:rPr>
        <w:t xml:space="preserve"> a costly compliance burden for MAS contractors that serves </w:t>
      </w:r>
      <w:r w:rsidR="692FEDCC" w:rsidRPr="3E0F598F">
        <w:rPr>
          <w:rFonts w:ascii="Calibri" w:eastAsia="Calibri" w:hAnsi="Calibri" w:cs="Calibri"/>
        </w:rPr>
        <w:t>as a barrier to</w:t>
      </w:r>
      <w:r w:rsidR="00DF5BA1">
        <w:rPr>
          <w:rFonts w:ascii="Calibri" w:eastAsia="Calibri" w:hAnsi="Calibri" w:cs="Calibri"/>
        </w:rPr>
        <w:t xml:space="preserve"> entry into</w:t>
      </w:r>
      <w:r w:rsidR="692FEDCC" w:rsidRPr="3E0F598F">
        <w:rPr>
          <w:rFonts w:ascii="Calibri" w:eastAsia="Calibri" w:hAnsi="Calibri" w:cs="Calibri"/>
        </w:rPr>
        <w:t xml:space="preserve"> the federal marketplace</w:t>
      </w:r>
      <w:r w:rsidR="00DF5BA1">
        <w:rPr>
          <w:rFonts w:ascii="Calibri" w:eastAsia="Calibri" w:hAnsi="Calibri" w:cs="Calibri"/>
        </w:rPr>
        <w:t>,</w:t>
      </w:r>
      <w:r w:rsidR="692FEDCC" w:rsidRPr="3E0F598F">
        <w:rPr>
          <w:rFonts w:ascii="Calibri" w:eastAsia="Calibri" w:hAnsi="Calibri" w:cs="Calibri"/>
        </w:rPr>
        <w:t xml:space="preserve"> and </w:t>
      </w:r>
      <w:r w:rsidR="00DF5BA1">
        <w:rPr>
          <w:rFonts w:ascii="Calibri" w:eastAsia="Calibri" w:hAnsi="Calibri" w:cs="Calibri"/>
        </w:rPr>
        <w:t xml:space="preserve">thus, they </w:t>
      </w:r>
      <w:r w:rsidR="692FEDCC" w:rsidRPr="3E0F598F">
        <w:rPr>
          <w:rFonts w:ascii="Calibri" w:eastAsia="Calibri" w:hAnsi="Calibri" w:cs="Calibri"/>
        </w:rPr>
        <w:t>can</w:t>
      </w:r>
      <w:r w:rsidR="5425623C" w:rsidRPr="3E0F598F">
        <w:rPr>
          <w:rFonts w:ascii="Calibri" w:eastAsia="Calibri" w:hAnsi="Calibri" w:cs="Calibri"/>
        </w:rPr>
        <w:t xml:space="preserve"> lead</w:t>
      </w:r>
      <w:r w:rsidR="692FEDCC" w:rsidRPr="3E0F598F">
        <w:rPr>
          <w:rFonts w:ascii="Calibri" w:eastAsia="Calibri" w:hAnsi="Calibri" w:cs="Calibri"/>
        </w:rPr>
        <w:t xml:space="preserve"> to </w:t>
      </w:r>
      <w:r w:rsidR="00866675">
        <w:rPr>
          <w:rFonts w:ascii="Calibri" w:eastAsia="Calibri" w:hAnsi="Calibri" w:cs="Calibri"/>
          <w:i/>
          <w:iCs/>
        </w:rPr>
        <w:t>an increase in</w:t>
      </w:r>
      <w:r w:rsidR="692FEDCC" w:rsidRPr="3E0F598F">
        <w:rPr>
          <w:rFonts w:ascii="Calibri" w:eastAsia="Calibri" w:hAnsi="Calibri" w:cs="Calibri"/>
        </w:rPr>
        <w:t xml:space="preserve"> prices </w:t>
      </w:r>
      <w:r w:rsidR="00866675">
        <w:rPr>
          <w:rFonts w:ascii="Calibri" w:eastAsia="Calibri" w:hAnsi="Calibri" w:cs="Calibri"/>
        </w:rPr>
        <w:t>paid by</w:t>
      </w:r>
      <w:r w:rsidR="5DB82745" w:rsidRPr="3E0F598F">
        <w:rPr>
          <w:rFonts w:ascii="Calibri" w:eastAsia="Calibri" w:hAnsi="Calibri" w:cs="Calibri"/>
        </w:rPr>
        <w:t xml:space="preserve"> the government for</w:t>
      </w:r>
      <w:r w:rsidR="692FEDCC" w:rsidRPr="3E0F598F">
        <w:rPr>
          <w:rFonts w:ascii="Calibri" w:eastAsia="Calibri" w:hAnsi="Calibri" w:cs="Calibri"/>
        </w:rPr>
        <w:t xml:space="preserve"> supplies and services under the Schedules program. </w:t>
      </w:r>
      <w:r w:rsidR="74D2EFA3" w:rsidRPr="3E0F598F">
        <w:rPr>
          <w:rFonts w:ascii="Calibri" w:eastAsia="Calibri" w:hAnsi="Calibri" w:cs="Calibri"/>
        </w:rPr>
        <w:t>Additionally,</w:t>
      </w:r>
      <w:r w:rsidR="0083743A">
        <w:rPr>
          <w:rFonts w:ascii="Calibri" w:eastAsia="Calibri" w:hAnsi="Calibri" w:cs="Calibri"/>
        </w:rPr>
        <w:t xml:space="preserve"> they do not appear to address</w:t>
      </w:r>
      <w:r w:rsidR="00C575B8">
        <w:rPr>
          <w:rFonts w:ascii="Calibri" w:eastAsia="Calibri" w:hAnsi="Calibri" w:cs="Calibri"/>
        </w:rPr>
        <w:t xml:space="preserve"> dynamics in the ecosystem, </w:t>
      </w:r>
      <w:r w:rsidR="20D38070" w:rsidRPr="3E0F598F">
        <w:rPr>
          <w:rFonts w:ascii="Calibri" w:eastAsia="Calibri" w:hAnsi="Calibri" w:cs="Calibri"/>
        </w:rPr>
        <w:t>including changes in the commercial market, the evolution of Federal customer requirements,</w:t>
      </w:r>
      <w:r w:rsidR="29E50FCC" w:rsidRPr="3E0F598F">
        <w:rPr>
          <w:rFonts w:ascii="Calibri" w:eastAsia="Calibri" w:hAnsi="Calibri" w:cs="Calibri"/>
        </w:rPr>
        <w:t xml:space="preserve"> new regulations in the MAS program</w:t>
      </w:r>
      <w:r w:rsidR="003C6C01">
        <w:rPr>
          <w:rFonts w:ascii="Calibri" w:eastAsia="Calibri" w:hAnsi="Calibri" w:cs="Calibri"/>
        </w:rPr>
        <w:t>,</w:t>
      </w:r>
      <w:r w:rsidR="20D38070" w:rsidRPr="3E0F598F">
        <w:rPr>
          <w:rFonts w:ascii="Calibri" w:eastAsia="Calibri" w:hAnsi="Calibri" w:cs="Calibri"/>
        </w:rPr>
        <w:t xml:space="preserve"> and</w:t>
      </w:r>
      <w:r w:rsidR="74D2EFA3" w:rsidRPr="3E0F598F">
        <w:rPr>
          <w:rFonts w:ascii="Calibri" w:eastAsia="Calibri" w:hAnsi="Calibri" w:cs="Calibri"/>
        </w:rPr>
        <w:t xml:space="preserve"> </w:t>
      </w:r>
      <w:r w:rsidR="408F06F9" w:rsidRPr="3E0F598F">
        <w:rPr>
          <w:rFonts w:ascii="Calibri" w:eastAsia="Calibri" w:hAnsi="Calibri" w:cs="Calibri"/>
        </w:rPr>
        <w:t>th</w:t>
      </w:r>
      <w:r w:rsidR="002D6AB5">
        <w:rPr>
          <w:rFonts w:ascii="Calibri" w:eastAsia="Calibri" w:hAnsi="Calibri" w:cs="Calibri"/>
        </w:rPr>
        <w:t>e effects</w:t>
      </w:r>
      <w:r w:rsidR="001963B1">
        <w:rPr>
          <w:rFonts w:ascii="Calibri" w:eastAsia="Calibri" w:hAnsi="Calibri" w:cs="Calibri"/>
        </w:rPr>
        <w:t>,</w:t>
      </w:r>
      <w:r w:rsidR="00C575B8">
        <w:rPr>
          <w:rFonts w:ascii="Calibri" w:eastAsia="Calibri" w:hAnsi="Calibri" w:cs="Calibri"/>
        </w:rPr>
        <w:t xml:space="preserve"> </w:t>
      </w:r>
      <w:r w:rsidR="03D21FE7" w:rsidRPr="3E0F598F">
        <w:rPr>
          <w:rFonts w:ascii="Calibri" w:eastAsia="Calibri" w:hAnsi="Calibri" w:cs="Calibri"/>
        </w:rPr>
        <w:t xml:space="preserve">that </w:t>
      </w:r>
      <w:r w:rsidR="00C575B8">
        <w:rPr>
          <w:rFonts w:ascii="Calibri" w:eastAsia="Calibri" w:hAnsi="Calibri" w:cs="Calibri"/>
        </w:rPr>
        <w:t>have evolved</w:t>
      </w:r>
      <w:r w:rsidR="03D21FE7" w:rsidRPr="3E0F598F">
        <w:rPr>
          <w:rFonts w:ascii="Calibri" w:eastAsia="Calibri" w:hAnsi="Calibri" w:cs="Calibri"/>
        </w:rPr>
        <w:t xml:space="preserve"> over time.</w:t>
      </w:r>
    </w:p>
    <w:p w14:paraId="631FBC09" w14:textId="3934D389" w:rsidR="00795103" w:rsidRDefault="692FEDCC" w:rsidP="3E0F598F">
      <w:pPr>
        <w:spacing w:line="257" w:lineRule="auto"/>
        <w:rPr>
          <w:rFonts w:ascii="Calibri" w:eastAsia="Calibri" w:hAnsi="Calibri" w:cs="Calibri"/>
        </w:rPr>
      </w:pPr>
      <w:r w:rsidRPr="3E0F598F">
        <w:rPr>
          <w:rFonts w:ascii="Calibri" w:eastAsia="Calibri" w:hAnsi="Calibri" w:cs="Calibri"/>
        </w:rPr>
        <w:t xml:space="preserve">On the other hand, TDR takes a more streamlined approach to achieving </w:t>
      </w:r>
      <w:r w:rsidR="3C1AB9C3" w:rsidRPr="3E0F598F">
        <w:rPr>
          <w:rFonts w:ascii="Calibri" w:eastAsia="Calibri" w:hAnsi="Calibri" w:cs="Calibri"/>
        </w:rPr>
        <w:t xml:space="preserve">GSA’s statutorily assigned pricing </w:t>
      </w:r>
      <w:r w:rsidRPr="3E0F598F">
        <w:rPr>
          <w:rFonts w:ascii="Calibri" w:eastAsia="Calibri" w:hAnsi="Calibri" w:cs="Calibri"/>
        </w:rPr>
        <w:t>objectives</w:t>
      </w:r>
      <w:r w:rsidR="00E36743">
        <w:rPr>
          <w:rFonts w:ascii="Calibri" w:eastAsia="Calibri" w:hAnsi="Calibri" w:cs="Calibri"/>
        </w:rPr>
        <w:t xml:space="preserve"> than the PRC and CSP</w:t>
      </w:r>
      <w:r w:rsidRPr="3E0F598F">
        <w:rPr>
          <w:rFonts w:ascii="Calibri" w:eastAsia="Calibri" w:hAnsi="Calibri" w:cs="Calibri"/>
        </w:rPr>
        <w:t xml:space="preserve"> </w:t>
      </w:r>
      <w:r w:rsidR="30036082" w:rsidRPr="3E0F598F">
        <w:rPr>
          <w:rFonts w:ascii="Calibri" w:eastAsia="Calibri" w:hAnsi="Calibri" w:cs="Calibri"/>
        </w:rPr>
        <w:t xml:space="preserve">by using the </w:t>
      </w:r>
      <w:r w:rsidRPr="3E0F598F">
        <w:rPr>
          <w:rFonts w:ascii="Calibri" w:eastAsia="Calibri" w:hAnsi="Calibri" w:cs="Calibri"/>
        </w:rPr>
        <w:t>actual prices paid by federal customers at the order level under the MAS program. TDR requires that contractors submit monthly reports on their actual Schedule sales at the order level and does not require an initial commercial practices disclosure and continual tracking of the BOA customer pricing throughout the life of the contract. Initial</w:t>
      </w:r>
      <w:r w:rsidR="00774067">
        <w:rPr>
          <w:rFonts w:ascii="Calibri" w:eastAsia="Calibri" w:hAnsi="Calibri" w:cs="Calibri"/>
        </w:rPr>
        <w:t xml:space="preserve"> contract-level</w:t>
      </w:r>
      <w:r w:rsidRPr="3E0F598F">
        <w:rPr>
          <w:rFonts w:ascii="Calibri" w:eastAsia="Calibri" w:hAnsi="Calibri" w:cs="Calibri"/>
        </w:rPr>
        <w:t xml:space="preserve"> pricing depends on horizontal comparisons between a contractor’s proposed pricing, collected </w:t>
      </w:r>
      <w:r w:rsidRPr="3E0F598F">
        <w:rPr>
          <w:rFonts w:ascii="Calibri" w:eastAsia="Calibri" w:hAnsi="Calibri" w:cs="Calibri"/>
        </w:rPr>
        <w:lastRenderedPageBreak/>
        <w:t>transactional data</w:t>
      </w:r>
      <w:r w:rsidR="00B10460">
        <w:rPr>
          <w:rFonts w:ascii="Calibri" w:eastAsia="Calibri" w:hAnsi="Calibri" w:cs="Calibri"/>
        </w:rPr>
        <w:t>,</w:t>
      </w:r>
      <w:r w:rsidRPr="3E0F598F">
        <w:rPr>
          <w:rFonts w:ascii="Calibri" w:eastAsia="Calibri" w:hAnsi="Calibri" w:cs="Calibri"/>
        </w:rPr>
        <w:t xml:space="preserve"> and other sources</w:t>
      </w:r>
      <w:r w:rsidR="004C0035">
        <w:rPr>
          <w:rFonts w:ascii="Calibri" w:eastAsia="Calibri" w:hAnsi="Calibri" w:cs="Calibri"/>
        </w:rPr>
        <w:t>. Ongoing</w:t>
      </w:r>
      <w:r w:rsidRPr="3E0F598F">
        <w:rPr>
          <w:rFonts w:ascii="Calibri" w:eastAsia="Calibri" w:hAnsi="Calibri" w:cs="Calibri"/>
        </w:rPr>
        <w:t xml:space="preserve"> price reasonableness </w:t>
      </w:r>
      <w:r w:rsidR="00B10460">
        <w:rPr>
          <w:rFonts w:ascii="Calibri" w:eastAsia="Calibri" w:hAnsi="Calibri" w:cs="Calibri"/>
        </w:rPr>
        <w:t>is</w:t>
      </w:r>
      <w:r w:rsidRPr="3E0F598F">
        <w:rPr>
          <w:rFonts w:ascii="Calibri" w:eastAsia="Calibri" w:hAnsi="Calibri" w:cs="Calibri"/>
        </w:rPr>
        <w:t xml:space="preserve"> maintained by comparing existing contract prices to transactional and other pricing data. </w:t>
      </w:r>
      <w:r w:rsidR="001A6A4F">
        <w:rPr>
          <w:rFonts w:ascii="Calibri" w:eastAsia="Calibri" w:hAnsi="Calibri" w:cs="Calibri"/>
        </w:rPr>
        <w:t xml:space="preserve">Through this approach, </w:t>
      </w:r>
      <w:r w:rsidR="005D6DCE">
        <w:rPr>
          <w:rFonts w:ascii="Calibri" w:eastAsia="Calibri" w:hAnsi="Calibri" w:cs="Calibri"/>
        </w:rPr>
        <w:t xml:space="preserve">then, </w:t>
      </w:r>
      <w:r w:rsidR="001A6A4F">
        <w:rPr>
          <w:rFonts w:ascii="Calibri" w:eastAsia="Calibri" w:hAnsi="Calibri" w:cs="Calibri"/>
        </w:rPr>
        <w:t xml:space="preserve">the use of </w:t>
      </w:r>
      <w:r w:rsidR="3C79166D" w:rsidRPr="3E0F598F">
        <w:rPr>
          <w:rFonts w:ascii="Calibri" w:eastAsia="Calibri" w:hAnsi="Calibri" w:cs="Calibri"/>
        </w:rPr>
        <w:t xml:space="preserve">TDR eliminates </w:t>
      </w:r>
      <w:r w:rsidR="007C07FC">
        <w:rPr>
          <w:rFonts w:ascii="Calibri" w:eastAsia="Calibri" w:hAnsi="Calibri" w:cs="Calibri"/>
        </w:rPr>
        <w:t xml:space="preserve">the barrier to entry </w:t>
      </w:r>
      <w:r w:rsidR="0088706B">
        <w:rPr>
          <w:rFonts w:ascii="Calibri" w:eastAsia="Calibri" w:hAnsi="Calibri" w:cs="Calibri"/>
        </w:rPr>
        <w:t>the PRC and CSP pose</w:t>
      </w:r>
      <w:r w:rsidR="004C0035">
        <w:rPr>
          <w:rFonts w:ascii="Calibri" w:eastAsia="Calibri" w:hAnsi="Calibri" w:cs="Calibri"/>
        </w:rPr>
        <w:t xml:space="preserve"> without sacrificing </w:t>
      </w:r>
      <w:r w:rsidR="00A5247D">
        <w:rPr>
          <w:rFonts w:ascii="Calibri" w:eastAsia="Calibri" w:hAnsi="Calibri" w:cs="Calibri"/>
        </w:rPr>
        <w:t>the goals of these provisions</w:t>
      </w:r>
      <w:r w:rsidR="3C79166D" w:rsidRPr="3E0F598F">
        <w:rPr>
          <w:rFonts w:ascii="Calibri" w:eastAsia="Calibri" w:hAnsi="Calibri" w:cs="Calibri"/>
        </w:rPr>
        <w:t>.</w:t>
      </w:r>
    </w:p>
    <w:p w14:paraId="427DE44A" w14:textId="6188B83C" w:rsidR="00795103" w:rsidRDefault="692FEDCC" w:rsidP="3E0F598F">
      <w:pPr>
        <w:pStyle w:val="ListParagraph"/>
        <w:numPr>
          <w:ilvl w:val="0"/>
          <w:numId w:val="1"/>
        </w:numPr>
        <w:rPr>
          <w:rFonts w:ascii="Calibri" w:eastAsia="Calibri" w:hAnsi="Calibri" w:cs="Calibri"/>
          <w:i/>
          <w:iCs/>
        </w:rPr>
      </w:pPr>
      <w:r w:rsidRPr="3E0F598F">
        <w:rPr>
          <w:rFonts w:ascii="Calibri" w:eastAsia="Calibri" w:hAnsi="Calibri" w:cs="Calibri"/>
          <w:i/>
          <w:iCs/>
        </w:rPr>
        <w:t>TDR: A Natural Development in the History of the Schedules Program</w:t>
      </w:r>
    </w:p>
    <w:p w14:paraId="3AF25CD5" w14:textId="154E29F7" w:rsidR="00795103" w:rsidRDefault="692FEDCC" w:rsidP="3E0F598F">
      <w:pPr>
        <w:spacing w:line="257" w:lineRule="auto"/>
      </w:pPr>
      <w:r w:rsidRPr="3E0F598F">
        <w:rPr>
          <w:rFonts w:ascii="Calibri" w:eastAsia="Calibri" w:hAnsi="Calibri" w:cs="Calibri"/>
        </w:rPr>
        <w:t>The PRC and commercial sales disclosures have changed significantly over time</w:t>
      </w:r>
      <w:r w:rsidR="00FF081E">
        <w:rPr>
          <w:rFonts w:ascii="Calibri" w:eastAsia="Calibri" w:hAnsi="Calibri" w:cs="Calibri"/>
        </w:rPr>
        <w:t xml:space="preserve"> in response to the market and</w:t>
      </w:r>
      <w:r w:rsidRPr="3E0F598F">
        <w:rPr>
          <w:rFonts w:ascii="Calibri" w:eastAsia="Calibri" w:hAnsi="Calibri" w:cs="Calibri"/>
        </w:rPr>
        <w:t xml:space="preserve"> to improve their utility and reduce burdens on the supplier base</w:t>
      </w:r>
      <w:r w:rsidR="00DC7155">
        <w:rPr>
          <w:rFonts w:ascii="Calibri" w:eastAsia="Calibri" w:hAnsi="Calibri" w:cs="Calibri"/>
        </w:rPr>
        <w:t>. The</w:t>
      </w:r>
      <w:r w:rsidRPr="3E0F598F">
        <w:rPr>
          <w:rFonts w:ascii="Calibri" w:eastAsia="Calibri" w:hAnsi="Calibri" w:cs="Calibri"/>
        </w:rPr>
        <w:t xml:space="preserve"> continued expansion of TDR is a logical extension of that history</w:t>
      </w:r>
      <w:r w:rsidRPr="3E0F598F">
        <w:rPr>
          <w:rFonts w:ascii="Calibri" w:eastAsia="Calibri" w:hAnsi="Calibri" w:cs="Calibri"/>
          <w:color w:val="008080"/>
          <w:u w:val="single"/>
        </w:rPr>
        <w:t>.</w:t>
      </w:r>
    </w:p>
    <w:p w14:paraId="47E49AA6" w14:textId="6359676C" w:rsidR="00795103" w:rsidRDefault="692FEDCC" w:rsidP="3E0F598F">
      <w:pPr>
        <w:spacing w:line="257" w:lineRule="auto"/>
      </w:pPr>
      <w:r w:rsidRPr="3E0F598F">
        <w:rPr>
          <w:rFonts w:ascii="Calibri" w:eastAsia="Calibri" w:hAnsi="Calibri" w:cs="Calibri"/>
        </w:rPr>
        <w:t>The PRC dates to at least 1957, when a clause labelled “Price Reductions” appears as Article 13 of the General Provisions for Federal Supply Service (FSS) contracts, although GSA officials testified in the first GSBCA case interpreting Article 13 that it had been in use even earlier.</w:t>
      </w:r>
      <w:r w:rsidR="00D06901">
        <w:rPr>
          <w:rStyle w:val="FootnoteReference"/>
          <w:rFonts w:ascii="Calibri" w:eastAsia="Calibri" w:hAnsi="Calibri" w:cs="Calibri"/>
        </w:rPr>
        <w:footnoteReference w:id="5"/>
      </w:r>
      <w:r w:rsidRPr="3E0F598F">
        <w:rPr>
          <w:rFonts w:ascii="Calibri" w:eastAsia="Calibri" w:hAnsi="Calibri" w:cs="Calibri"/>
        </w:rPr>
        <w:t xml:space="preserve"> </w:t>
      </w:r>
      <w:r w:rsidR="00841D63">
        <w:rPr>
          <w:rFonts w:ascii="Calibri" w:eastAsia="Calibri" w:hAnsi="Calibri" w:cs="Calibri"/>
        </w:rPr>
        <w:t>Th</w:t>
      </w:r>
      <w:r w:rsidR="007A20CB">
        <w:rPr>
          <w:rFonts w:ascii="Calibri" w:eastAsia="Calibri" w:hAnsi="Calibri" w:cs="Calibri"/>
        </w:rPr>
        <w:t>is</w:t>
      </w:r>
      <w:r w:rsidRPr="3E0F598F">
        <w:rPr>
          <w:rFonts w:ascii="Calibri" w:eastAsia="Calibri" w:hAnsi="Calibri" w:cs="Calibri"/>
        </w:rPr>
        <w:t xml:space="preserve"> version </w:t>
      </w:r>
      <w:r w:rsidR="007A20CB">
        <w:rPr>
          <w:rFonts w:ascii="Calibri" w:eastAsia="Calibri" w:hAnsi="Calibri" w:cs="Calibri"/>
        </w:rPr>
        <w:t>required</w:t>
      </w:r>
      <w:r w:rsidRPr="3E0F598F">
        <w:rPr>
          <w:rFonts w:ascii="Calibri" w:eastAsia="Calibri" w:hAnsi="Calibri" w:cs="Calibri"/>
        </w:rPr>
        <w:t xml:space="preserve"> that if </w:t>
      </w:r>
      <w:r w:rsidR="006B2597">
        <w:rPr>
          <w:rFonts w:ascii="Calibri" w:eastAsia="Calibri" w:hAnsi="Calibri" w:cs="Calibri"/>
        </w:rPr>
        <w:t>a</w:t>
      </w:r>
      <w:r w:rsidRPr="3E0F598F">
        <w:rPr>
          <w:rFonts w:ascii="Calibri" w:eastAsia="Calibri" w:hAnsi="Calibri" w:cs="Calibri"/>
        </w:rPr>
        <w:t xml:space="preserve"> contractor “reduce</w:t>
      </w:r>
      <w:r w:rsidR="007A20CB">
        <w:rPr>
          <w:rFonts w:ascii="Calibri" w:eastAsia="Calibri" w:hAnsi="Calibri" w:cs="Calibri"/>
        </w:rPr>
        <w:t>[d]</w:t>
      </w:r>
      <w:r w:rsidRPr="3E0F598F">
        <w:rPr>
          <w:rFonts w:ascii="Calibri" w:eastAsia="Calibri" w:hAnsi="Calibri" w:cs="Calibri"/>
        </w:rPr>
        <w:t xml:space="preserve"> the comparable price of any article or service” offered to </w:t>
      </w:r>
      <w:r w:rsidRPr="3E0F598F">
        <w:rPr>
          <w:rFonts w:ascii="Calibri" w:eastAsia="Calibri" w:hAnsi="Calibri" w:cs="Calibri"/>
          <w:i/>
          <w:iCs/>
        </w:rPr>
        <w:t>any</w:t>
      </w:r>
      <w:r w:rsidRPr="3E0F598F">
        <w:rPr>
          <w:rFonts w:ascii="Calibri" w:eastAsia="Calibri" w:hAnsi="Calibri" w:cs="Calibri"/>
        </w:rPr>
        <w:t xml:space="preserve"> commercial customer, the contractor had to report the reduction to the government. </w:t>
      </w:r>
      <w:r w:rsidR="007A20CB">
        <w:rPr>
          <w:rFonts w:ascii="Calibri" w:eastAsia="Calibri" w:hAnsi="Calibri" w:cs="Calibri"/>
        </w:rPr>
        <w:t>T</w:t>
      </w:r>
      <w:r w:rsidRPr="3E0F598F">
        <w:rPr>
          <w:rFonts w:ascii="Calibri" w:eastAsia="Calibri" w:hAnsi="Calibri" w:cs="Calibri"/>
        </w:rPr>
        <w:t>he government</w:t>
      </w:r>
      <w:r w:rsidR="007A20CB">
        <w:rPr>
          <w:rFonts w:ascii="Calibri" w:eastAsia="Calibri" w:hAnsi="Calibri" w:cs="Calibri"/>
        </w:rPr>
        <w:t xml:space="preserve"> then</w:t>
      </w:r>
      <w:r w:rsidRPr="3E0F598F">
        <w:rPr>
          <w:rFonts w:ascii="Calibri" w:eastAsia="Calibri" w:hAnsi="Calibri" w:cs="Calibri"/>
        </w:rPr>
        <w:t xml:space="preserve"> would be entitled to a “proportional reduction” in the MAS contract price for any orders placed after the triggering offer had taken place. A revised version of this clause that narrowed what constituted a triggering reduction was incorporated into the General Services Administration Procurement Regulations (GSPR), the ancestor of the modern GSAM, in 1967, and it was revised repeatedly over the next two decades</w:t>
      </w:r>
      <w:r w:rsidR="0015063B">
        <w:rPr>
          <w:rFonts w:ascii="Calibri" w:eastAsia="Calibri" w:hAnsi="Calibri" w:cs="Calibri"/>
        </w:rPr>
        <w:t>.</w:t>
      </w:r>
      <w:r w:rsidR="0015063B">
        <w:rPr>
          <w:rStyle w:val="FootnoteReference"/>
          <w:rFonts w:ascii="Calibri" w:eastAsia="Calibri" w:hAnsi="Calibri" w:cs="Calibri"/>
        </w:rPr>
        <w:footnoteReference w:id="6"/>
      </w:r>
      <w:r w:rsidR="0015063B">
        <w:t xml:space="preserve"> </w:t>
      </w:r>
    </w:p>
    <w:p w14:paraId="3BBDAEB7" w14:textId="22FCA4C0" w:rsidR="00795103" w:rsidRDefault="692FEDCC" w:rsidP="3E0F598F">
      <w:pPr>
        <w:spacing w:line="257" w:lineRule="auto"/>
      </w:pPr>
      <w:r w:rsidRPr="3E0F598F">
        <w:rPr>
          <w:rFonts w:ascii="Calibri" w:eastAsia="Calibri" w:hAnsi="Calibri" w:cs="Calibri"/>
        </w:rPr>
        <w:t>The current PRC emerged when GSA issued a new version of the clause in its 1982 Multiple Award Schedules Policy statement that incorporated the “</w:t>
      </w:r>
      <w:r w:rsidR="000765F8">
        <w:rPr>
          <w:rFonts w:ascii="Calibri" w:eastAsia="Calibri" w:hAnsi="Calibri" w:cs="Calibri"/>
        </w:rPr>
        <w:t>B</w:t>
      </w:r>
      <w:r w:rsidRPr="3E0F598F">
        <w:rPr>
          <w:rFonts w:ascii="Calibri" w:eastAsia="Calibri" w:hAnsi="Calibri" w:cs="Calibri"/>
        </w:rPr>
        <w:t xml:space="preserve">asis of </w:t>
      </w:r>
      <w:r w:rsidR="000765F8">
        <w:rPr>
          <w:rFonts w:ascii="Calibri" w:eastAsia="Calibri" w:hAnsi="Calibri" w:cs="Calibri"/>
        </w:rPr>
        <w:t>A</w:t>
      </w:r>
      <w:r w:rsidRPr="3E0F598F">
        <w:rPr>
          <w:rFonts w:ascii="Calibri" w:eastAsia="Calibri" w:hAnsi="Calibri" w:cs="Calibri"/>
        </w:rPr>
        <w:t xml:space="preserve">ward” </w:t>
      </w:r>
      <w:r w:rsidR="00A5409D">
        <w:rPr>
          <w:rFonts w:ascii="Calibri" w:eastAsia="Calibri" w:hAnsi="Calibri" w:cs="Calibri"/>
        </w:rPr>
        <w:t xml:space="preserve">(BOA) </w:t>
      </w:r>
      <w:r w:rsidRPr="3E0F598F">
        <w:rPr>
          <w:rFonts w:ascii="Calibri" w:eastAsia="Calibri" w:hAnsi="Calibri" w:cs="Calibri"/>
        </w:rPr>
        <w:t xml:space="preserve">concept. The introduction of the BOA narrowed the clause’s application, but vendors still </w:t>
      </w:r>
      <w:r w:rsidR="00A5409D">
        <w:rPr>
          <w:rFonts w:ascii="Calibri" w:eastAsia="Calibri" w:hAnsi="Calibri" w:cs="Calibri"/>
        </w:rPr>
        <w:t xml:space="preserve">were </w:t>
      </w:r>
      <w:r w:rsidRPr="3E0F598F">
        <w:rPr>
          <w:rFonts w:ascii="Calibri" w:eastAsia="Calibri" w:hAnsi="Calibri" w:cs="Calibri"/>
        </w:rPr>
        <w:t>required to report</w:t>
      </w:r>
      <w:r w:rsidR="00E2145D">
        <w:rPr>
          <w:rFonts w:ascii="Calibri" w:eastAsia="Calibri" w:hAnsi="Calibri" w:cs="Calibri"/>
        </w:rPr>
        <w:t xml:space="preserve"> and explain</w:t>
      </w:r>
      <w:r w:rsidRPr="3E0F598F">
        <w:rPr>
          <w:rFonts w:ascii="Calibri" w:eastAsia="Calibri" w:hAnsi="Calibri" w:cs="Calibri"/>
        </w:rPr>
        <w:t xml:space="preserve"> price reductions to any customers, even if they did not trigger the clause. The 1982 clause still provided that any discount </w:t>
      </w:r>
      <w:r w:rsidR="000B42DF">
        <w:rPr>
          <w:rFonts w:ascii="Calibri" w:eastAsia="Calibri" w:hAnsi="Calibri" w:cs="Calibri"/>
        </w:rPr>
        <w:t>(</w:t>
      </w:r>
      <w:r w:rsidR="00B472E2">
        <w:rPr>
          <w:rFonts w:ascii="Calibri" w:eastAsia="Calibri" w:hAnsi="Calibri" w:cs="Calibri"/>
        </w:rPr>
        <w:t>except</w:t>
      </w:r>
      <w:r w:rsidR="005A436A">
        <w:rPr>
          <w:rFonts w:ascii="Calibri" w:eastAsia="Calibri" w:hAnsi="Calibri" w:cs="Calibri"/>
        </w:rPr>
        <w:t xml:space="preserve"> for </w:t>
      </w:r>
      <w:r w:rsidR="00EB4A5A">
        <w:rPr>
          <w:rFonts w:ascii="Calibri" w:eastAsia="Calibri" w:hAnsi="Calibri" w:cs="Calibri"/>
        </w:rPr>
        <w:t xml:space="preserve">temporary, time-limited reductions </w:t>
      </w:r>
      <w:r w:rsidR="00B472E2">
        <w:rPr>
          <w:rFonts w:ascii="Calibri" w:eastAsia="Calibri" w:hAnsi="Calibri" w:cs="Calibri"/>
        </w:rPr>
        <w:t>that lasted only thirty days</w:t>
      </w:r>
      <w:r w:rsidR="00EB4A5A">
        <w:rPr>
          <w:rFonts w:ascii="Calibri" w:eastAsia="Calibri" w:hAnsi="Calibri" w:cs="Calibri"/>
        </w:rPr>
        <w:t xml:space="preserve">) </w:t>
      </w:r>
      <w:r w:rsidRPr="3E0F598F">
        <w:rPr>
          <w:rFonts w:ascii="Calibri" w:eastAsia="Calibri" w:hAnsi="Calibri" w:cs="Calibri"/>
        </w:rPr>
        <w:t>offered to a federal purchaser would trigger the clause, effectively disincentivizing companies from offering discounts to schedule purchasers.</w:t>
      </w:r>
    </w:p>
    <w:p w14:paraId="7958CF1C" w14:textId="6B48B171" w:rsidR="00795103" w:rsidRDefault="692FEDCC" w:rsidP="3E0F598F">
      <w:pPr>
        <w:spacing w:line="257" w:lineRule="auto"/>
      </w:pPr>
      <w:r w:rsidRPr="3E0F598F">
        <w:rPr>
          <w:rFonts w:ascii="Calibri" w:eastAsia="Calibri" w:hAnsi="Calibri" w:cs="Calibri"/>
        </w:rPr>
        <w:t>GSA also addressed commercial sales practices in the 1982 policy statement. It required contractors to use the Discount Schedule and Marketing Data (DSMD) form to report their standard commercial practices, discounts, and pricing structure in their initial schedule proposal. In 1992</w:t>
      </w:r>
      <w:r w:rsidR="00873DA0">
        <w:rPr>
          <w:rFonts w:ascii="Calibri" w:eastAsia="Calibri" w:hAnsi="Calibri" w:cs="Calibri"/>
        </w:rPr>
        <w:t>,</w:t>
      </w:r>
      <w:r w:rsidRPr="3E0F598F">
        <w:rPr>
          <w:rFonts w:ascii="Calibri" w:eastAsia="Calibri" w:hAnsi="Calibri" w:cs="Calibri"/>
        </w:rPr>
        <w:t xml:space="preserve"> </w:t>
      </w:r>
      <w:r w:rsidR="00B02FCB">
        <w:rPr>
          <w:rFonts w:ascii="Calibri" w:eastAsia="Calibri" w:hAnsi="Calibri" w:cs="Calibri"/>
        </w:rPr>
        <w:t xml:space="preserve">the </w:t>
      </w:r>
      <w:r w:rsidR="00B02FCB" w:rsidRPr="3E0F598F">
        <w:rPr>
          <w:rFonts w:ascii="Calibri" w:eastAsia="Calibri" w:hAnsi="Calibri" w:cs="Calibri"/>
        </w:rPr>
        <w:t xml:space="preserve">First Circuit Court of Appeals </w:t>
      </w:r>
      <w:r w:rsidRPr="3E0F598F">
        <w:rPr>
          <w:rFonts w:ascii="Calibri" w:eastAsia="Calibri" w:hAnsi="Calibri" w:cs="Calibri"/>
        </w:rPr>
        <w:t xml:space="preserve">found that “read … literally,” the DSMD would require contractors to disclose every discount that they had ever made to any customer. </w:t>
      </w:r>
      <w:r w:rsidR="00F45C62">
        <w:rPr>
          <w:rFonts w:ascii="Calibri" w:eastAsia="Calibri" w:hAnsi="Calibri" w:cs="Calibri"/>
        </w:rPr>
        <w:t>(</w:t>
      </w:r>
      <w:r w:rsidR="00F45C62" w:rsidRPr="3E0F598F">
        <w:rPr>
          <w:rFonts w:ascii="Calibri" w:eastAsia="Calibri" w:hAnsi="Calibri" w:cs="Calibri"/>
          <w:i/>
          <w:iCs/>
        </w:rPr>
        <w:t>U.S. v. Data Translations</w:t>
      </w:r>
      <w:r w:rsidR="00855B27">
        <w:rPr>
          <w:rStyle w:val="FootnoteReference"/>
          <w:rFonts w:ascii="Calibri" w:eastAsia="Calibri" w:hAnsi="Calibri" w:cs="Calibri"/>
          <w:i/>
          <w:iCs/>
        </w:rPr>
        <w:footnoteReference w:id="7"/>
      </w:r>
      <w:r w:rsidR="00F45C62">
        <w:rPr>
          <w:rFonts w:ascii="Calibri" w:eastAsia="Calibri" w:hAnsi="Calibri" w:cs="Calibri"/>
        </w:rPr>
        <w:t>).</w:t>
      </w:r>
      <w:r w:rsidR="00F45C62" w:rsidRPr="3E0F598F">
        <w:rPr>
          <w:rFonts w:ascii="Calibri" w:eastAsia="Calibri" w:hAnsi="Calibri" w:cs="Calibri"/>
        </w:rPr>
        <w:t xml:space="preserve"> </w:t>
      </w:r>
      <w:r w:rsidRPr="3E0F598F">
        <w:rPr>
          <w:rFonts w:ascii="Calibri" w:eastAsia="Calibri" w:hAnsi="Calibri" w:cs="Calibri"/>
        </w:rPr>
        <w:t xml:space="preserve">The </w:t>
      </w:r>
      <w:r w:rsidR="00F45C62">
        <w:rPr>
          <w:rFonts w:ascii="Calibri" w:eastAsia="Calibri" w:hAnsi="Calibri" w:cs="Calibri"/>
        </w:rPr>
        <w:t>c</w:t>
      </w:r>
      <w:r w:rsidRPr="3E0F598F">
        <w:rPr>
          <w:rFonts w:ascii="Calibri" w:eastAsia="Calibri" w:hAnsi="Calibri" w:cs="Calibri"/>
        </w:rPr>
        <w:t>ourt declined to find the form unlawful, but it warned that, even if the record was construed in favor of the government, the DSMD demanded only a “’</w:t>
      </w:r>
      <w:r w:rsidRPr="3E0F598F">
        <w:rPr>
          <w:rFonts w:ascii="Calibri" w:eastAsia="Calibri" w:hAnsi="Calibri" w:cs="Calibri"/>
          <w:i/>
          <w:iCs/>
        </w:rPr>
        <w:t>practical’</w:t>
      </w:r>
      <w:r w:rsidRPr="3E0F598F">
        <w:rPr>
          <w:rFonts w:ascii="Calibri" w:eastAsia="Calibri" w:hAnsi="Calibri" w:cs="Calibri"/>
        </w:rPr>
        <w:t xml:space="preserve"> effort to supply </w:t>
      </w:r>
      <w:r w:rsidRPr="3E0F598F">
        <w:rPr>
          <w:rFonts w:ascii="Calibri" w:eastAsia="Calibri" w:hAnsi="Calibri" w:cs="Calibri"/>
          <w:i/>
          <w:iCs/>
        </w:rPr>
        <w:t xml:space="preserve">relevant </w:t>
      </w:r>
      <w:r w:rsidRPr="3E0F598F">
        <w:rPr>
          <w:rFonts w:ascii="Calibri" w:eastAsia="Calibri" w:hAnsi="Calibri" w:cs="Calibri"/>
        </w:rPr>
        <w:t>price discount data.”</w:t>
      </w:r>
      <w:r w:rsidR="0036439F">
        <w:rPr>
          <w:rStyle w:val="FootnoteReference"/>
          <w:rFonts w:ascii="Calibri" w:eastAsia="Calibri" w:hAnsi="Calibri" w:cs="Calibri"/>
        </w:rPr>
        <w:footnoteReference w:id="8"/>
      </w:r>
    </w:p>
    <w:p w14:paraId="7431CD1F" w14:textId="1255A76F" w:rsidR="00795103" w:rsidRDefault="692FEDCC" w:rsidP="3E0F598F">
      <w:pPr>
        <w:spacing w:line="257" w:lineRule="auto"/>
      </w:pPr>
      <w:r w:rsidRPr="3E0F598F">
        <w:rPr>
          <w:rFonts w:ascii="Calibri" w:eastAsia="Calibri" w:hAnsi="Calibri" w:cs="Calibri"/>
        </w:rPr>
        <w:t xml:space="preserve">To address these issues, GSA rewrote the PRC in 1994 to require that contractors report only price reductions to BOA customer(s) and to no longer count Federal discounts as triggers. In 1997, GSA resolved the issues raised by the First Circuit by replacing the DSMD with the Commercial Sales Practices (CSP) disclosure format used today. </w:t>
      </w:r>
      <w:r w:rsidR="0048381F">
        <w:rPr>
          <w:rFonts w:ascii="Calibri" w:eastAsia="Calibri" w:hAnsi="Calibri" w:cs="Calibri"/>
        </w:rPr>
        <w:t>Requiring</w:t>
      </w:r>
      <w:r w:rsidRPr="3E0F598F">
        <w:rPr>
          <w:rFonts w:ascii="Calibri" w:eastAsia="Calibri" w:hAnsi="Calibri" w:cs="Calibri"/>
        </w:rPr>
        <w:t xml:space="preserve"> considerably less information than the DSMD</w:t>
      </w:r>
      <w:r w:rsidR="0048381F">
        <w:rPr>
          <w:rFonts w:ascii="Calibri" w:eastAsia="Calibri" w:hAnsi="Calibri" w:cs="Calibri"/>
        </w:rPr>
        <w:t xml:space="preserve">, the CSP </w:t>
      </w:r>
      <w:r w:rsidR="00412F27">
        <w:rPr>
          <w:rFonts w:ascii="Calibri" w:eastAsia="Calibri" w:hAnsi="Calibri" w:cs="Calibri"/>
        </w:rPr>
        <w:lastRenderedPageBreak/>
        <w:t>specifies</w:t>
      </w:r>
      <w:r w:rsidRPr="3E0F598F">
        <w:rPr>
          <w:rFonts w:ascii="Calibri" w:eastAsia="Calibri" w:hAnsi="Calibri" w:cs="Calibri"/>
        </w:rPr>
        <w:t xml:space="preserve"> that contractors</w:t>
      </w:r>
      <w:r w:rsidR="00412F27">
        <w:rPr>
          <w:rFonts w:ascii="Calibri" w:eastAsia="Calibri" w:hAnsi="Calibri" w:cs="Calibri"/>
        </w:rPr>
        <w:t xml:space="preserve"> </w:t>
      </w:r>
      <w:r w:rsidRPr="3E0F598F">
        <w:rPr>
          <w:rFonts w:ascii="Calibri" w:eastAsia="Calibri" w:hAnsi="Calibri" w:cs="Calibri"/>
        </w:rPr>
        <w:t>only supply</w:t>
      </w:r>
      <w:r w:rsidR="001C287B">
        <w:rPr>
          <w:rFonts w:ascii="Calibri" w:eastAsia="Calibri" w:hAnsi="Calibri" w:cs="Calibri"/>
        </w:rPr>
        <w:t xml:space="preserve"> information on the dollar value of sales </w:t>
      </w:r>
      <w:r w:rsidR="00FE60F8">
        <w:rPr>
          <w:rFonts w:ascii="Calibri" w:eastAsia="Calibri" w:hAnsi="Calibri" w:cs="Calibri"/>
        </w:rPr>
        <w:t>for the offeror’s last fiscal year or previous 12-month period</w:t>
      </w:r>
      <w:r w:rsidR="00FA287C">
        <w:rPr>
          <w:rFonts w:ascii="Calibri" w:eastAsia="Calibri" w:hAnsi="Calibri" w:cs="Calibri"/>
        </w:rPr>
        <w:t xml:space="preserve">, </w:t>
      </w:r>
      <w:r w:rsidR="00871C4A">
        <w:rPr>
          <w:rFonts w:ascii="Calibri" w:eastAsia="Calibri" w:hAnsi="Calibri" w:cs="Calibri"/>
        </w:rPr>
        <w:t xml:space="preserve">on </w:t>
      </w:r>
      <w:r w:rsidR="00FA287C">
        <w:rPr>
          <w:rFonts w:ascii="Calibri" w:eastAsia="Calibri" w:hAnsi="Calibri" w:cs="Calibri"/>
        </w:rPr>
        <w:t>projected annual sales</w:t>
      </w:r>
      <w:r w:rsidR="006D39B9">
        <w:rPr>
          <w:rFonts w:ascii="Calibri" w:eastAsia="Calibri" w:hAnsi="Calibri" w:cs="Calibri"/>
        </w:rPr>
        <w:t xml:space="preserve"> under the contract, and</w:t>
      </w:r>
      <w:r w:rsidRPr="3E0F598F">
        <w:rPr>
          <w:rFonts w:ascii="Calibri" w:eastAsia="Calibri" w:hAnsi="Calibri" w:cs="Calibri"/>
        </w:rPr>
        <w:t xml:space="preserve"> on discounts and prices that are better than what the government would receive under the proposed contract (if the government is the most favored customer, the contractor simply provides the prices and discount proposed under the contract, alongside the other customers that receive that price). Aside from a 2004 change</w:t>
      </w:r>
      <w:r w:rsidR="00FC0EDD">
        <w:rPr>
          <w:rStyle w:val="FootnoteReference"/>
          <w:rFonts w:ascii="Calibri" w:eastAsia="Calibri" w:hAnsi="Calibri" w:cs="Calibri"/>
        </w:rPr>
        <w:footnoteReference w:id="9"/>
      </w:r>
      <w:r w:rsidR="00515735">
        <w:t xml:space="preserve"> </w:t>
      </w:r>
      <w:r w:rsidRPr="3E0F598F">
        <w:rPr>
          <w:rFonts w:ascii="Calibri" w:eastAsia="Calibri" w:hAnsi="Calibri" w:cs="Calibri"/>
        </w:rPr>
        <w:t xml:space="preserve">indicating that offers made to state and local governments through the Schedules would not trigger the clause, the PRC’s substance remains unchanged since the 1994 revision. </w:t>
      </w:r>
    </w:p>
    <w:p w14:paraId="125BED48" w14:textId="42C998F0" w:rsidR="00795103" w:rsidRDefault="00B4237F" w:rsidP="3E0F598F">
      <w:pPr>
        <w:spacing w:line="257" w:lineRule="auto"/>
      </w:pPr>
      <w:r>
        <w:rPr>
          <w:rFonts w:ascii="Calibri" w:eastAsia="Calibri" w:hAnsi="Calibri" w:cs="Calibri"/>
        </w:rPr>
        <w:t>The</w:t>
      </w:r>
      <w:r w:rsidR="692FEDCC" w:rsidRPr="3E0F598F">
        <w:rPr>
          <w:rFonts w:ascii="Calibri" w:eastAsia="Calibri" w:hAnsi="Calibri" w:cs="Calibri"/>
        </w:rPr>
        <w:t xml:space="preserve"> PRC and its accompanying commercial practice disclosures </w:t>
      </w:r>
      <w:r w:rsidR="00984AAA">
        <w:rPr>
          <w:rFonts w:ascii="Calibri" w:eastAsia="Calibri" w:hAnsi="Calibri" w:cs="Calibri"/>
        </w:rPr>
        <w:t>have</w:t>
      </w:r>
      <w:r w:rsidR="692FEDCC" w:rsidRPr="3E0F598F">
        <w:rPr>
          <w:rFonts w:ascii="Calibri" w:eastAsia="Calibri" w:hAnsi="Calibri" w:cs="Calibri"/>
        </w:rPr>
        <w:t xml:space="preserve"> evolved to become </w:t>
      </w:r>
      <w:r w:rsidR="0096299D">
        <w:rPr>
          <w:rFonts w:ascii="Calibri" w:eastAsia="Calibri" w:hAnsi="Calibri" w:cs="Calibri"/>
        </w:rPr>
        <w:t>substantially simpler</w:t>
      </w:r>
      <w:r w:rsidR="692FEDCC" w:rsidRPr="3E0F598F">
        <w:rPr>
          <w:rFonts w:ascii="Calibri" w:eastAsia="Calibri" w:hAnsi="Calibri" w:cs="Calibri"/>
        </w:rPr>
        <w:t xml:space="preserve"> over time and to cover a narrower range of cases</w:t>
      </w:r>
      <w:r w:rsidR="006801A7">
        <w:rPr>
          <w:rFonts w:ascii="Calibri" w:eastAsia="Calibri" w:hAnsi="Calibri" w:cs="Calibri"/>
        </w:rPr>
        <w:t xml:space="preserve"> than in the past</w:t>
      </w:r>
      <w:r w:rsidR="692FEDCC" w:rsidRPr="3E0F598F">
        <w:rPr>
          <w:rFonts w:ascii="Calibri" w:eastAsia="Calibri" w:hAnsi="Calibri" w:cs="Calibri"/>
        </w:rPr>
        <w:t xml:space="preserve">. Contractors </w:t>
      </w:r>
      <w:r w:rsidR="00046116">
        <w:rPr>
          <w:rFonts w:ascii="Calibri" w:eastAsia="Calibri" w:hAnsi="Calibri" w:cs="Calibri"/>
        </w:rPr>
        <w:t>today</w:t>
      </w:r>
      <w:r w:rsidR="692FEDCC" w:rsidRPr="3E0F598F">
        <w:rPr>
          <w:rFonts w:ascii="Calibri" w:eastAsia="Calibri" w:hAnsi="Calibri" w:cs="Calibri"/>
        </w:rPr>
        <w:t xml:space="preserve"> disclose only a smaller and more relevant portion of their commercial practices during negotiations than they did in the past, and price reductions trigger changes in MAS prices only when they apply to BOA customers.</w:t>
      </w:r>
    </w:p>
    <w:p w14:paraId="0AA08B40" w14:textId="0B666409" w:rsidR="00795103" w:rsidRDefault="00B4237F" w:rsidP="3E0F598F">
      <w:pPr>
        <w:spacing w:line="257" w:lineRule="auto"/>
      </w:pPr>
      <w:r>
        <w:rPr>
          <w:rFonts w:ascii="Calibri" w:eastAsia="Calibri" w:hAnsi="Calibri" w:cs="Calibri"/>
        </w:rPr>
        <w:t>Thus, even</w:t>
      </w:r>
      <w:r w:rsidR="692FEDCC" w:rsidRPr="3E0F598F">
        <w:rPr>
          <w:rFonts w:ascii="Calibri" w:eastAsia="Calibri" w:hAnsi="Calibri" w:cs="Calibri"/>
        </w:rPr>
        <w:t xml:space="preserve"> though TDR abrogates the PRC and commercial sales disclosures, it is</w:t>
      </w:r>
      <w:r w:rsidR="0096299D">
        <w:rPr>
          <w:rFonts w:ascii="Calibri" w:eastAsia="Calibri" w:hAnsi="Calibri" w:cs="Calibri"/>
        </w:rPr>
        <w:t xml:space="preserve"> best understood as a part of the evolution of these measures</w:t>
      </w:r>
      <w:r w:rsidR="692FEDCC" w:rsidRPr="3E0F598F">
        <w:rPr>
          <w:rFonts w:ascii="Calibri" w:eastAsia="Calibri" w:hAnsi="Calibri" w:cs="Calibri"/>
        </w:rPr>
        <w:t xml:space="preserve">, not a radical departure. GSA consistently recognized that the PRC and CSP were excessively restrictive and burdensome </w:t>
      </w:r>
      <w:r w:rsidR="006340EA">
        <w:rPr>
          <w:rFonts w:ascii="Calibri" w:eastAsia="Calibri" w:hAnsi="Calibri" w:cs="Calibri"/>
        </w:rPr>
        <w:t xml:space="preserve">given the marketplace it faces, </w:t>
      </w:r>
      <w:r w:rsidR="692FEDCC" w:rsidRPr="3E0F598F">
        <w:rPr>
          <w:rFonts w:ascii="Calibri" w:eastAsia="Calibri" w:hAnsi="Calibri" w:cs="Calibri"/>
        </w:rPr>
        <w:t xml:space="preserve">and </w:t>
      </w:r>
      <w:r w:rsidR="006340EA">
        <w:rPr>
          <w:rFonts w:ascii="Calibri" w:eastAsia="Calibri" w:hAnsi="Calibri" w:cs="Calibri"/>
        </w:rPr>
        <w:t xml:space="preserve">it </w:t>
      </w:r>
      <w:r w:rsidR="692FEDCC" w:rsidRPr="3E0F598F">
        <w:rPr>
          <w:rFonts w:ascii="Calibri" w:eastAsia="Calibri" w:hAnsi="Calibri" w:cs="Calibri"/>
        </w:rPr>
        <w:t xml:space="preserve">adjusted them in response. The rationale that drove GSA to create the CSP in 1997 and eliminate the DSMD, for instance, bears a remarkable resemblance to the case for </w:t>
      </w:r>
      <w:r w:rsidR="00464855">
        <w:rPr>
          <w:rFonts w:ascii="Calibri" w:eastAsia="Calibri" w:hAnsi="Calibri" w:cs="Calibri"/>
        </w:rPr>
        <w:t xml:space="preserve">eliminating the CSP and </w:t>
      </w:r>
      <w:r w:rsidR="692FEDCC" w:rsidRPr="3E0F598F">
        <w:rPr>
          <w:rFonts w:ascii="Calibri" w:eastAsia="Calibri" w:hAnsi="Calibri" w:cs="Calibri"/>
        </w:rPr>
        <w:t>adopting TDR today:</w:t>
      </w:r>
    </w:p>
    <w:p w14:paraId="684A84BC" w14:textId="6FB28079" w:rsidR="00795103" w:rsidRDefault="692FEDCC" w:rsidP="0096299D">
      <w:pPr>
        <w:spacing w:line="257" w:lineRule="auto"/>
        <w:ind w:left="360"/>
      </w:pPr>
      <w:r w:rsidRPr="3E0F598F">
        <w:rPr>
          <w:rFonts w:ascii="Calibri" w:eastAsia="Calibri" w:hAnsi="Calibri" w:cs="Calibri"/>
        </w:rPr>
        <w:t xml:space="preserve">This final rule represents a continuation of GSA’s efforts to reinvent the MAS program </w:t>
      </w:r>
      <w:proofErr w:type="gramStart"/>
      <w:r w:rsidRPr="3E0F598F">
        <w:rPr>
          <w:rFonts w:ascii="Calibri" w:eastAsia="Calibri" w:hAnsi="Calibri" w:cs="Calibri"/>
        </w:rPr>
        <w:t>in order to</w:t>
      </w:r>
      <w:proofErr w:type="gramEnd"/>
      <w:r w:rsidRPr="3E0F598F">
        <w:rPr>
          <w:rFonts w:ascii="Calibri" w:eastAsia="Calibri" w:hAnsi="Calibri" w:cs="Calibri"/>
        </w:rPr>
        <w:t xml:space="preserve"> move the program to a future environment of greater use of commercial practices, increased competition, and greater responsibility for making smart buying decisions within the framework of the MAS program by contracting personnel at the front-line closest to the need.</w:t>
      </w:r>
      <w:r w:rsidR="00486F35">
        <w:rPr>
          <w:rStyle w:val="FootnoteReference"/>
          <w:rFonts w:ascii="Calibri" w:eastAsia="Calibri" w:hAnsi="Calibri" w:cs="Calibri"/>
        </w:rPr>
        <w:footnoteReference w:id="10"/>
      </w:r>
    </w:p>
    <w:p w14:paraId="4E33CA15" w14:textId="3BAC469D" w:rsidR="00795103" w:rsidRDefault="00E3044B" w:rsidP="3E0F598F">
      <w:pPr>
        <w:pStyle w:val="ListParagraph"/>
        <w:numPr>
          <w:ilvl w:val="0"/>
          <w:numId w:val="1"/>
        </w:numPr>
        <w:rPr>
          <w:rFonts w:ascii="Calibri" w:eastAsia="Calibri" w:hAnsi="Calibri" w:cs="Calibri"/>
          <w:i/>
          <w:iCs/>
        </w:rPr>
      </w:pPr>
      <w:r>
        <w:rPr>
          <w:rFonts w:ascii="Calibri" w:eastAsia="Calibri" w:hAnsi="Calibri" w:cs="Calibri"/>
          <w:i/>
          <w:iCs/>
        </w:rPr>
        <w:t>The Next Evolutionary Stage: TDR Addresses the Remaining Problems of the PRC and CSP</w:t>
      </w:r>
    </w:p>
    <w:p w14:paraId="6783C42D" w14:textId="6BB6391A" w:rsidR="00795103" w:rsidRDefault="009A44A7" w:rsidP="3E0F598F">
      <w:pPr>
        <w:spacing w:line="257" w:lineRule="auto"/>
      </w:pPr>
      <w:r>
        <w:rPr>
          <w:rFonts w:ascii="Calibri" w:eastAsia="Calibri" w:hAnsi="Calibri" w:cs="Calibri"/>
        </w:rPr>
        <w:t>T</w:t>
      </w:r>
      <w:r w:rsidR="692FEDCC" w:rsidRPr="3E0F598F">
        <w:rPr>
          <w:rFonts w:ascii="Calibri" w:eastAsia="Calibri" w:hAnsi="Calibri" w:cs="Calibri"/>
        </w:rPr>
        <w:t>he</w:t>
      </w:r>
      <w:r>
        <w:rPr>
          <w:rFonts w:ascii="Calibri" w:eastAsia="Calibri" w:hAnsi="Calibri" w:cs="Calibri"/>
        </w:rPr>
        <w:t>re</w:t>
      </w:r>
      <w:r w:rsidR="692FEDCC" w:rsidRPr="3E0F598F">
        <w:rPr>
          <w:rFonts w:ascii="Calibri" w:eastAsia="Calibri" w:hAnsi="Calibri" w:cs="Calibri"/>
        </w:rPr>
        <w:t xml:space="preserve"> </w:t>
      </w:r>
      <w:r>
        <w:rPr>
          <w:rFonts w:ascii="Calibri" w:eastAsia="Calibri" w:hAnsi="Calibri" w:cs="Calibri"/>
        </w:rPr>
        <w:t xml:space="preserve">is a </w:t>
      </w:r>
      <w:r w:rsidR="692FEDCC" w:rsidRPr="3E0F598F">
        <w:rPr>
          <w:rFonts w:ascii="Calibri" w:eastAsia="Calibri" w:hAnsi="Calibri" w:cs="Calibri"/>
        </w:rPr>
        <w:t>strong body of evidence that the PRC and CSP cannot address the needs of the current government purchasing environment</w:t>
      </w:r>
      <w:r w:rsidR="00464855">
        <w:rPr>
          <w:rFonts w:ascii="Calibri" w:eastAsia="Calibri" w:hAnsi="Calibri" w:cs="Calibri"/>
        </w:rPr>
        <w:t xml:space="preserve">.  </w:t>
      </w:r>
      <w:r w:rsidR="00CC7C43">
        <w:rPr>
          <w:rFonts w:ascii="Calibri" w:eastAsia="Calibri" w:hAnsi="Calibri" w:cs="Calibri"/>
        </w:rPr>
        <w:t xml:space="preserve">The use of </w:t>
      </w:r>
      <w:r w:rsidR="00E37558">
        <w:rPr>
          <w:rFonts w:ascii="Calibri" w:eastAsia="Calibri" w:hAnsi="Calibri" w:cs="Calibri"/>
        </w:rPr>
        <w:t>TDR</w:t>
      </w:r>
      <w:r w:rsidR="00CC7C43">
        <w:rPr>
          <w:rFonts w:ascii="Calibri" w:eastAsia="Calibri" w:hAnsi="Calibri" w:cs="Calibri"/>
        </w:rPr>
        <w:t>, however,</w:t>
      </w:r>
      <w:r w:rsidR="00E37558">
        <w:rPr>
          <w:rFonts w:ascii="Calibri" w:eastAsia="Calibri" w:hAnsi="Calibri" w:cs="Calibri"/>
        </w:rPr>
        <w:t xml:space="preserve"> can </w:t>
      </w:r>
      <w:r w:rsidR="00FA0B60">
        <w:rPr>
          <w:rFonts w:ascii="Calibri" w:eastAsia="Calibri" w:hAnsi="Calibri" w:cs="Calibri"/>
        </w:rPr>
        <w:t>address this deficiency</w:t>
      </w:r>
      <w:r w:rsidR="692FEDCC" w:rsidRPr="3E0F598F">
        <w:rPr>
          <w:rFonts w:ascii="Calibri" w:eastAsia="Calibri" w:hAnsi="Calibri" w:cs="Calibri"/>
        </w:rPr>
        <w:t>.</w:t>
      </w:r>
      <w:r w:rsidR="00486F35">
        <w:rPr>
          <w:rStyle w:val="FootnoteReference"/>
          <w:rFonts w:ascii="Calibri" w:eastAsia="Calibri" w:hAnsi="Calibri" w:cs="Calibri"/>
        </w:rPr>
        <w:footnoteReference w:id="11"/>
      </w:r>
    </w:p>
    <w:p w14:paraId="39EBDF33" w14:textId="555DBC2E" w:rsidR="00795103" w:rsidRDefault="692FEDCC" w:rsidP="3E0F598F">
      <w:pPr>
        <w:spacing w:line="257" w:lineRule="auto"/>
      </w:pPr>
      <w:r w:rsidRPr="3E0F598F">
        <w:rPr>
          <w:rFonts w:ascii="Calibri" w:eastAsia="Calibri" w:hAnsi="Calibri" w:cs="Calibri"/>
        </w:rPr>
        <w:t xml:space="preserve">From an economic perspective, the tracking and reduction concepts built into the PRC work against the goal of achieving low prices. </w:t>
      </w:r>
      <w:r w:rsidR="002D6AB5">
        <w:rPr>
          <w:rFonts w:ascii="Calibri" w:eastAsia="Calibri" w:hAnsi="Calibri" w:cs="Calibri"/>
        </w:rPr>
        <w:t>Ensuring compliance with the PRC</w:t>
      </w:r>
      <w:r w:rsidRPr="3E0F598F">
        <w:rPr>
          <w:rFonts w:ascii="Calibri" w:eastAsia="Calibri" w:hAnsi="Calibri" w:cs="Calibri"/>
        </w:rPr>
        <w:t xml:space="preserve"> raises transaction costs for businesses participating in the Schedules, thereby raising the end costs of MAS contracts and the price the schedule purchaser pays</w:t>
      </w:r>
      <w:r w:rsidR="00C1775E">
        <w:rPr>
          <w:rFonts w:ascii="Calibri" w:eastAsia="Calibri" w:hAnsi="Calibri" w:cs="Calibri"/>
        </w:rPr>
        <w:t>.</w:t>
      </w:r>
      <w:r w:rsidR="00486F35">
        <w:rPr>
          <w:rStyle w:val="FootnoteReference"/>
          <w:rFonts w:ascii="Calibri" w:eastAsia="Calibri" w:hAnsi="Calibri" w:cs="Calibri"/>
        </w:rPr>
        <w:footnoteReference w:id="12"/>
      </w:r>
      <w:r w:rsidR="00C1775E">
        <w:rPr>
          <w:rFonts w:ascii="Calibri" w:eastAsia="Calibri" w:hAnsi="Calibri" w:cs="Calibri"/>
        </w:rPr>
        <w:t xml:space="preserve"> </w:t>
      </w:r>
      <w:r w:rsidRPr="3E0F598F">
        <w:rPr>
          <w:rFonts w:ascii="Calibri" w:eastAsia="Calibri" w:hAnsi="Calibri" w:cs="Calibri"/>
        </w:rPr>
        <w:t>These transaction costs</w:t>
      </w:r>
      <w:r w:rsidR="000307BB">
        <w:rPr>
          <w:rFonts w:ascii="Calibri" w:eastAsia="Calibri" w:hAnsi="Calibri" w:cs="Calibri"/>
        </w:rPr>
        <w:t xml:space="preserve">, </w:t>
      </w:r>
      <w:r w:rsidRPr="3E0F598F">
        <w:rPr>
          <w:rFonts w:ascii="Calibri" w:eastAsia="Calibri" w:hAnsi="Calibri" w:cs="Calibri"/>
        </w:rPr>
        <w:t xml:space="preserve">which, because of the uncertainty surrounding post-award audits and potential False Claims Act actions, </w:t>
      </w:r>
      <w:r w:rsidR="00C1775E">
        <w:rPr>
          <w:rFonts w:ascii="Calibri" w:eastAsia="Calibri" w:hAnsi="Calibri" w:cs="Calibri"/>
        </w:rPr>
        <w:t>are potentially</w:t>
      </w:r>
      <w:r w:rsidRPr="3E0F598F">
        <w:rPr>
          <w:rFonts w:ascii="Calibri" w:eastAsia="Calibri" w:hAnsi="Calibri" w:cs="Calibri"/>
        </w:rPr>
        <w:t xml:space="preserve"> very high</w:t>
      </w:r>
      <w:r w:rsidR="004C2F2D">
        <w:rPr>
          <w:rFonts w:ascii="Calibri" w:eastAsia="Calibri" w:hAnsi="Calibri" w:cs="Calibri"/>
        </w:rPr>
        <w:t xml:space="preserve">, </w:t>
      </w:r>
      <w:r w:rsidRPr="3E0F598F">
        <w:rPr>
          <w:rFonts w:ascii="Calibri" w:eastAsia="Calibri" w:hAnsi="Calibri" w:cs="Calibri"/>
        </w:rPr>
        <w:t xml:space="preserve">discourage participation and competition on the Schedules that would drive prices down. Additionally, the PRC </w:t>
      </w:r>
      <w:r w:rsidR="00DE4782">
        <w:rPr>
          <w:rFonts w:ascii="Calibri" w:eastAsia="Calibri" w:hAnsi="Calibri" w:cs="Calibri"/>
        </w:rPr>
        <w:t xml:space="preserve">risks </w:t>
      </w:r>
      <w:r w:rsidR="00E66680">
        <w:rPr>
          <w:rFonts w:ascii="Calibri" w:eastAsia="Calibri" w:hAnsi="Calibri" w:cs="Calibri"/>
        </w:rPr>
        <w:t>increased</w:t>
      </w:r>
      <w:r w:rsidR="00AF629D">
        <w:rPr>
          <w:rFonts w:ascii="Calibri" w:eastAsia="Calibri" w:hAnsi="Calibri" w:cs="Calibri"/>
        </w:rPr>
        <w:t xml:space="preserve"> prices</w:t>
      </w:r>
      <w:r w:rsidR="006370D0">
        <w:rPr>
          <w:rFonts w:ascii="Calibri" w:eastAsia="Calibri" w:hAnsi="Calibri" w:cs="Calibri"/>
        </w:rPr>
        <w:t xml:space="preserve"> to the government</w:t>
      </w:r>
      <w:r w:rsidR="00AF629D">
        <w:rPr>
          <w:rFonts w:ascii="Calibri" w:eastAsia="Calibri" w:hAnsi="Calibri" w:cs="Calibri"/>
        </w:rPr>
        <w:t xml:space="preserve"> because</w:t>
      </w:r>
      <w:r w:rsidR="006370D0">
        <w:rPr>
          <w:rFonts w:ascii="Calibri" w:eastAsia="Calibri" w:hAnsi="Calibri" w:cs="Calibri"/>
        </w:rPr>
        <w:t xml:space="preserve"> the uncertainty of future</w:t>
      </w:r>
      <w:r w:rsidR="0068146F">
        <w:rPr>
          <w:rFonts w:ascii="Calibri" w:eastAsia="Calibri" w:hAnsi="Calibri" w:cs="Calibri"/>
        </w:rPr>
        <w:t xml:space="preserve"> price and market burdens incents</w:t>
      </w:r>
      <w:r w:rsidR="00AF629D">
        <w:rPr>
          <w:rFonts w:ascii="Calibri" w:eastAsia="Calibri" w:hAnsi="Calibri" w:cs="Calibri"/>
        </w:rPr>
        <w:t xml:space="preserve"> </w:t>
      </w:r>
      <w:r w:rsidRPr="3E0F598F">
        <w:rPr>
          <w:rFonts w:ascii="Calibri" w:eastAsia="Calibri" w:hAnsi="Calibri" w:cs="Calibri"/>
        </w:rPr>
        <w:t xml:space="preserve">contractors to </w:t>
      </w:r>
      <w:r w:rsidR="0068146F">
        <w:rPr>
          <w:rFonts w:ascii="Calibri" w:eastAsia="Calibri" w:hAnsi="Calibri" w:cs="Calibri"/>
        </w:rPr>
        <w:t>account for that risk</w:t>
      </w:r>
      <w:r w:rsidR="00A7151C">
        <w:rPr>
          <w:rFonts w:ascii="Calibri" w:eastAsia="Calibri" w:hAnsi="Calibri" w:cs="Calibri"/>
        </w:rPr>
        <w:t xml:space="preserve"> </w:t>
      </w:r>
      <w:r w:rsidR="00675FD0">
        <w:rPr>
          <w:rFonts w:ascii="Calibri" w:eastAsia="Calibri" w:hAnsi="Calibri" w:cs="Calibri"/>
        </w:rPr>
        <w:t>in</w:t>
      </w:r>
      <w:r w:rsidR="00A7151C">
        <w:rPr>
          <w:rFonts w:ascii="Calibri" w:eastAsia="Calibri" w:hAnsi="Calibri" w:cs="Calibri"/>
        </w:rPr>
        <w:t xml:space="preserve"> </w:t>
      </w:r>
      <w:r w:rsidRPr="3E0F598F">
        <w:rPr>
          <w:rFonts w:ascii="Calibri" w:eastAsia="Calibri" w:hAnsi="Calibri" w:cs="Calibri"/>
        </w:rPr>
        <w:t xml:space="preserve">MAS contract </w:t>
      </w:r>
      <w:r w:rsidR="00310D82">
        <w:rPr>
          <w:rFonts w:ascii="Calibri" w:eastAsia="Calibri" w:hAnsi="Calibri" w:cs="Calibri"/>
        </w:rPr>
        <w:t xml:space="preserve">price </w:t>
      </w:r>
      <w:r w:rsidRPr="3E0F598F">
        <w:rPr>
          <w:rFonts w:ascii="Calibri" w:eastAsia="Calibri" w:hAnsi="Calibri" w:cs="Calibri"/>
        </w:rPr>
        <w:t>negotiations.</w:t>
      </w:r>
      <w:r w:rsidR="00CB6BEE">
        <w:rPr>
          <w:rStyle w:val="FootnoteReference"/>
          <w:rFonts w:ascii="Calibri" w:eastAsia="Calibri" w:hAnsi="Calibri" w:cs="Calibri"/>
        </w:rPr>
        <w:footnoteReference w:id="13"/>
      </w:r>
      <w:r w:rsidR="00CB6BEE">
        <w:rPr>
          <w:rFonts w:ascii="Calibri" w:eastAsia="Calibri" w:hAnsi="Calibri" w:cs="Calibri"/>
        </w:rPr>
        <w:t xml:space="preserve"> </w:t>
      </w:r>
      <w:r w:rsidRPr="3E0F598F">
        <w:rPr>
          <w:rFonts w:ascii="Calibri" w:eastAsia="Calibri" w:hAnsi="Calibri" w:cs="Calibri"/>
          <w:strike/>
          <w:color w:val="FF0000"/>
        </w:rPr>
        <w:t xml:space="preserve"> </w:t>
      </w:r>
    </w:p>
    <w:p w14:paraId="416813B0" w14:textId="143BE07B" w:rsidR="00795103" w:rsidRDefault="692FEDCC" w:rsidP="3E0F598F">
      <w:pPr>
        <w:spacing w:line="257" w:lineRule="auto"/>
      </w:pPr>
      <w:r w:rsidRPr="3E0F598F">
        <w:rPr>
          <w:rFonts w:ascii="Calibri" w:eastAsia="Calibri" w:hAnsi="Calibri" w:cs="Calibri"/>
        </w:rPr>
        <w:lastRenderedPageBreak/>
        <w:t>TDR does carry reporting burdens for contractors, but</w:t>
      </w:r>
      <w:r w:rsidR="007C19C5">
        <w:rPr>
          <w:rFonts w:ascii="Calibri" w:eastAsia="Calibri" w:hAnsi="Calibri" w:cs="Calibri"/>
        </w:rPr>
        <w:t>,</w:t>
      </w:r>
      <w:r w:rsidRPr="3E0F598F">
        <w:rPr>
          <w:rFonts w:ascii="Calibri" w:eastAsia="Calibri" w:hAnsi="Calibri" w:cs="Calibri"/>
        </w:rPr>
        <w:t xml:space="preserve"> as we discuss in (II), a survey of our members suggests that t</w:t>
      </w:r>
      <w:r w:rsidR="007C19C5">
        <w:rPr>
          <w:rFonts w:ascii="Calibri" w:eastAsia="Calibri" w:hAnsi="Calibri" w:cs="Calibri"/>
        </w:rPr>
        <w:t>hose burdens</w:t>
      </w:r>
      <w:r w:rsidRPr="3E0F598F">
        <w:rPr>
          <w:rFonts w:ascii="Calibri" w:eastAsia="Calibri" w:hAnsi="Calibri" w:cs="Calibri"/>
        </w:rPr>
        <w:t xml:space="preserve"> are significantly lower than th</w:t>
      </w:r>
      <w:r w:rsidR="00650970">
        <w:rPr>
          <w:rFonts w:ascii="Calibri" w:eastAsia="Calibri" w:hAnsi="Calibri" w:cs="Calibri"/>
        </w:rPr>
        <w:t>e burdens</w:t>
      </w:r>
      <w:r w:rsidR="00C83658">
        <w:rPr>
          <w:rFonts w:ascii="Calibri" w:eastAsia="Calibri" w:hAnsi="Calibri" w:cs="Calibri"/>
        </w:rPr>
        <w:t xml:space="preserve"> </w:t>
      </w:r>
      <w:r w:rsidRPr="3E0F598F">
        <w:rPr>
          <w:rFonts w:ascii="Calibri" w:eastAsia="Calibri" w:hAnsi="Calibri" w:cs="Calibri"/>
        </w:rPr>
        <w:t xml:space="preserve">imposed by the PRC and CSP. There is no reason to assume that this finding would change </w:t>
      </w:r>
      <w:r w:rsidR="006345B4">
        <w:rPr>
          <w:rFonts w:ascii="Calibri" w:eastAsia="Calibri" w:hAnsi="Calibri" w:cs="Calibri"/>
        </w:rPr>
        <w:t>with continued</w:t>
      </w:r>
      <w:r w:rsidRPr="3E0F598F">
        <w:rPr>
          <w:rFonts w:ascii="Calibri" w:eastAsia="Calibri" w:hAnsi="Calibri" w:cs="Calibri"/>
        </w:rPr>
        <w:t xml:space="preserve"> expansion</w:t>
      </w:r>
      <w:r w:rsidR="00A15696">
        <w:rPr>
          <w:rFonts w:ascii="Calibri" w:eastAsia="Calibri" w:hAnsi="Calibri" w:cs="Calibri"/>
        </w:rPr>
        <w:t xml:space="preserve"> of the use of TDR, </w:t>
      </w:r>
      <w:r w:rsidR="00E73A41">
        <w:rPr>
          <w:rFonts w:ascii="Calibri" w:eastAsia="Calibri" w:hAnsi="Calibri" w:cs="Calibri"/>
        </w:rPr>
        <w:t xml:space="preserve">as </w:t>
      </w:r>
      <w:r w:rsidRPr="3E0F598F">
        <w:rPr>
          <w:rFonts w:ascii="Calibri" w:eastAsia="Calibri" w:hAnsi="Calibri" w:cs="Calibri"/>
        </w:rPr>
        <w:t xml:space="preserve">the most important burdens and risks, </w:t>
      </w:r>
      <w:r w:rsidR="00E73A41">
        <w:rPr>
          <w:rFonts w:ascii="Calibri" w:eastAsia="Calibri" w:hAnsi="Calibri" w:cs="Calibri"/>
        </w:rPr>
        <w:t>namely</w:t>
      </w:r>
      <w:r w:rsidR="00394FD0">
        <w:rPr>
          <w:rFonts w:ascii="Calibri" w:eastAsia="Calibri" w:hAnsi="Calibri" w:cs="Calibri"/>
        </w:rPr>
        <w:t xml:space="preserve"> </w:t>
      </w:r>
      <w:r w:rsidR="00394FD0" w:rsidRPr="00394FD0">
        <w:rPr>
          <w:rFonts w:ascii="Calibri" w:eastAsia="Calibri" w:hAnsi="Calibri" w:cs="Calibri"/>
        </w:rPr>
        <w:t>the burden of avoiding a triggering reduction and the risk of an adverse legal action</w:t>
      </w:r>
      <w:r w:rsidR="00394FD0">
        <w:rPr>
          <w:rFonts w:ascii="Calibri" w:eastAsia="Calibri" w:hAnsi="Calibri" w:cs="Calibri"/>
        </w:rPr>
        <w:t xml:space="preserve">, </w:t>
      </w:r>
      <w:r w:rsidRPr="3E0F598F">
        <w:rPr>
          <w:rFonts w:ascii="Calibri" w:eastAsia="Calibri" w:hAnsi="Calibri" w:cs="Calibri"/>
        </w:rPr>
        <w:t xml:space="preserve">which </w:t>
      </w:r>
      <w:r w:rsidR="00394FD0">
        <w:rPr>
          <w:rFonts w:ascii="Calibri" w:eastAsia="Calibri" w:hAnsi="Calibri" w:cs="Calibri"/>
        </w:rPr>
        <w:t>can be</w:t>
      </w:r>
      <w:r w:rsidRPr="3E0F598F">
        <w:rPr>
          <w:rFonts w:ascii="Calibri" w:eastAsia="Calibri" w:hAnsi="Calibri" w:cs="Calibri"/>
        </w:rPr>
        <w:t xml:space="preserve"> many times more costly than reporting</w:t>
      </w:r>
      <w:r w:rsidR="00394FD0">
        <w:rPr>
          <w:rFonts w:ascii="Calibri" w:eastAsia="Calibri" w:hAnsi="Calibri" w:cs="Calibri"/>
        </w:rPr>
        <w:t xml:space="preserve">, </w:t>
      </w:r>
      <w:r w:rsidR="00330B79">
        <w:rPr>
          <w:rFonts w:ascii="Calibri" w:eastAsia="Calibri" w:hAnsi="Calibri" w:cs="Calibri"/>
        </w:rPr>
        <w:t>would be mitigated or eliminated</w:t>
      </w:r>
      <w:r w:rsidRPr="3E0F598F">
        <w:rPr>
          <w:rFonts w:ascii="Calibri" w:eastAsia="Calibri" w:hAnsi="Calibri" w:cs="Calibri"/>
        </w:rPr>
        <w:t>.</w:t>
      </w:r>
      <w:r w:rsidR="002D6AB5">
        <w:t xml:space="preserve">  </w:t>
      </w:r>
      <w:r w:rsidR="00095B40">
        <w:rPr>
          <w:rFonts w:ascii="Calibri" w:eastAsia="Calibri" w:hAnsi="Calibri" w:cs="Calibri"/>
        </w:rPr>
        <w:t xml:space="preserve">Indeed, </w:t>
      </w:r>
      <w:r w:rsidRPr="3E0F598F">
        <w:rPr>
          <w:rFonts w:ascii="Calibri" w:eastAsia="Calibri" w:hAnsi="Calibri" w:cs="Calibri"/>
        </w:rPr>
        <w:t xml:space="preserve">initial contract prices will be </w:t>
      </w:r>
      <w:r w:rsidR="00670BC9">
        <w:rPr>
          <w:rFonts w:ascii="Calibri" w:eastAsia="Calibri" w:hAnsi="Calibri" w:cs="Calibri"/>
        </w:rPr>
        <w:t>kept in check by</w:t>
      </w:r>
      <w:r w:rsidRPr="3E0F598F">
        <w:rPr>
          <w:rFonts w:ascii="Calibri" w:eastAsia="Calibri" w:hAnsi="Calibri" w:cs="Calibri"/>
        </w:rPr>
        <w:t xml:space="preserve"> horizontal comparison with prices offered by competing firms. </w:t>
      </w:r>
      <w:r w:rsidR="00C50389">
        <w:rPr>
          <w:rFonts w:ascii="Calibri" w:eastAsia="Calibri" w:hAnsi="Calibri" w:cs="Calibri"/>
        </w:rPr>
        <w:t>Thus</w:t>
      </w:r>
      <w:r w:rsidR="00734903">
        <w:rPr>
          <w:rFonts w:ascii="Calibri" w:eastAsia="Calibri" w:hAnsi="Calibri" w:cs="Calibri"/>
        </w:rPr>
        <w:t xml:space="preserve">, </w:t>
      </w:r>
      <w:r w:rsidRPr="3E0F598F">
        <w:rPr>
          <w:rFonts w:ascii="Calibri" w:eastAsia="Calibri" w:hAnsi="Calibri" w:cs="Calibri"/>
        </w:rPr>
        <w:t xml:space="preserve">GSA stands on firm ground when it asserts that </w:t>
      </w:r>
      <w:r w:rsidR="00B81A5C">
        <w:rPr>
          <w:rFonts w:ascii="Calibri" w:eastAsia="Calibri" w:hAnsi="Calibri" w:cs="Calibri"/>
        </w:rPr>
        <w:t xml:space="preserve">the use of </w:t>
      </w:r>
      <w:r w:rsidRPr="3E0F598F">
        <w:rPr>
          <w:rFonts w:ascii="Calibri" w:eastAsia="Calibri" w:hAnsi="Calibri" w:cs="Calibri"/>
        </w:rPr>
        <w:t xml:space="preserve">TDR </w:t>
      </w:r>
      <w:r w:rsidR="00E741B2">
        <w:rPr>
          <w:rFonts w:ascii="Calibri" w:eastAsia="Calibri" w:hAnsi="Calibri" w:cs="Calibri"/>
        </w:rPr>
        <w:t>will lead to the</w:t>
      </w:r>
      <w:r w:rsidRPr="3E0F598F">
        <w:rPr>
          <w:rFonts w:ascii="Calibri" w:eastAsia="Calibri" w:hAnsi="Calibri" w:cs="Calibri"/>
        </w:rPr>
        <w:t xml:space="preserve"> “lowest overall cost alternative”</w:t>
      </w:r>
      <w:r w:rsidR="00E741B2">
        <w:rPr>
          <w:rFonts w:ascii="Calibri" w:eastAsia="Calibri" w:hAnsi="Calibri" w:cs="Calibri"/>
        </w:rPr>
        <w:t xml:space="preserve"> for the government.</w:t>
      </w:r>
    </w:p>
    <w:p w14:paraId="7E258C57" w14:textId="48B80266" w:rsidR="00AB744F" w:rsidRDefault="00647E27" w:rsidP="3E0F598F">
      <w:pPr>
        <w:spacing w:line="257" w:lineRule="auto"/>
        <w:rPr>
          <w:rFonts w:ascii="Calibri" w:eastAsia="Calibri" w:hAnsi="Calibri" w:cs="Calibri"/>
        </w:rPr>
      </w:pPr>
      <w:r>
        <w:rPr>
          <w:rFonts w:ascii="Calibri" w:eastAsia="Calibri" w:hAnsi="Calibri" w:cs="Calibri"/>
        </w:rPr>
        <w:t>Notwithstanding</w:t>
      </w:r>
      <w:r w:rsidR="00C50389">
        <w:rPr>
          <w:rFonts w:ascii="Calibri" w:eastAsia="Calibri" w:hAnsi="Calibri" w:cs="Calibri"/>
        </w:rPr>
        <w:t xml:space="preserve"> the foregoing economic discussion</w:t>
      </w:r>
      <w:r w:rsidR="00C26C42">
        <w:rPr>
          <w:rFonts w:ascii="Calibri" w:eastAsia="Calibri" w:hAnsi="Calibri" w:cs="Calibri"/>
        </w:rPr>
        <w:t>,</w:t>
      </w:r>
      <w:r w:rsidR="00255445">
        <w:rPr>
          <w:rFonts w:ascii="Calibri" w:eastAsia="Calibri" w:hAnsi="Calibri" w:cs="Calibri"/>
        </w:rPr>
        <w:t xml:space="preserve"> </w:t>
      </w:r>
      <w:r w:rsidR="692FEDCC" w:rsidRPr="3E0F598F">
        <w:rPr>
          <w:rFonts w:ascii="Calibri" w:eastAsia="Calibri" w:hAnsi="Calibri" w:cs="Calibri"/>
        </w:rPr>
        <w:t xml:space="preserve">however, several other factors still weigh in favor of transitioning from the PRC/CSP to TDR. First, </w:t>
      </w:r>
      <w:r w:rsidR="007A1528" w:rsidRPr="007A1528">
        <w:rPr>
          <w:rFonts w:ascii="Calibri" w:eastAsia="Calibri" w:hAnsi="Calibri" w:cs="Calibri"/>
        </w:rPr>
        <w:t>since the creation of the 1984 PRC</w:t>
      </w:r>
      <w:r w:rsidR="007A1528">
        <w:rPr>
          <w:rFonts w:ascii="Calibri" w:eastAsia="Calibri" w:hAnsi="Calibri" w:cs="Calibri"/>
        </w:rPr>
        <w:t>,</w:t>
      </w:r>
      <w:r w:rsidR="007A1528" w:rsidRPr="007A1528">
        <w:rPr>
          <w:rFonts w:ascii="Calibri" w:eastAsia="Calibri" w:hAnsi="Calibri" w:cs="Calibri"/>
        </w:rPr>
        <w:t xml:space="preserve"> </w:t>
      </w:r>
      <w:r w:rsidR="692FEDCC" w:rsidRPr="3E0F598F">
        <w:rPr>
          <w:rFonts w:ascii="Calibri" w:eastAsia="Calibri" w:hAnsi="Calibri" w:cs="Calibri"/>
        </w:rPr>
        <w:t>the commercial environment has changed considerably</w:t>
      </w:r>
      <w:r w:rsidR="007A1528">
        <w:rPr>
          <w:rFonts w:ascii="Calibri" w:eastAsia="Calibri" w:hAnsi="Calibri" w:cs="Calibri"/>
        </w:rPr>
        <w:t xml:space="preserve">, </w:t>
      </w:r>
      <w:r w:rsidR="008D64BE">
        <w:rPr>
          <w:rFonts w:ascii="Calibri" w:eastAsia="Calibri" w:hAnsi="Calibri" w:cs="Calibri"/>
        </w:rPr>
        <w:t>making the PRC</w:t>
      </w:r>
      <w:r w:rsidR="692FEDCC" w:rsidRPr="3E0F598F">
        <w:rPr>
          <w:rFonts w:ascii="Calibri" w:eastAsia="Calibri" w:hAnsi="Calibri" w:cs="Calibri"/>
        </w:rPr>
        <w:t xml:space="preserve"> difficult to administer and less effective. </w:t>
      </w:r>
      <w:r w:rsidR="0062326E">
        <w:rPr>
          <w:rFonts w:ascii="Calibri" w:eastAsia="Calibri" w:hAnsi="Calibri" w:cs="Calibri"/>
        </w:rPr>
        <w:t>In 1984</w:t>
      </w:r>
      <w:r w:rsidR="692FEDCC" w:rsidRPr="3E0F598F">
        <w:rPr>
          <w:rFonts w:ascii="Calibri" w:eastAsia="Calibri" w:hAnsi="Calibri" w:cs="Calibri"/>
        </w:rPr>
        <w:t xml:space="preserve">, firms usually had catalogs with fixed prices and established commercial practices for providing discounts and concessions. </w:t>
      </w:r>
    </w:p>
    <w:p w14:paraId="738BB096" w14:textId="0CD7578A" w:rsidR="00795103" w:rsidRDefault="692FEDCC" w:rsidP="3E0F598F">
      <w:pPr>
        <w:spacing w:line="257" w:lineRule="auto"/>
      </w:pPr>
      <w:r w:rsidRPr="3E0F598F">
        <w:rPr>
          <w:rFonts w:ascii="Calibri" w:eastAsia="Calibri" w:hAnsi="Calibri" w:cs="Calibri"/>
        </w:rPr>
        <w:t xml:space="preserve">Pricing today has become far more dynamic. With the advent of telecommunications technology and the rapid exchange of information, firms can change prices instantaneously. In addition, as bundled, customized solutions supplant traditional business models, many firms no longer have stable price lists. Their standard commercial practice is to offer prices to prospective clients based on a request for proposal, a practice intrinsically ill-suited to monitoring through the PRC because terms and conditions vary among orders. </w:t>
      </w:r>
      <w:r w:rsidR="00BF3CAC">
        <w:rPr>
          <w:rFonts w:ascii="Calibri" w:eastAsia="Calibri" w:hAnsi="Calibri" w:cs="Calibri"/>
        </w:rPr>
        <w:t>Consider</w:t>
      </w:r>
      <w:r w:rsidRPr="3E0F598F">
        <w:rPr>
          <w:rFonts w:ascii="Calibri" w:eastAsia="Calibri" w:hAnsi="Calibri" w:cs="Calibri"/>
        </w:rPr>
        <w:t xml:space="preserve"> cloud services</w:t>
      </w:r>
      <w:r w:rsidR="00F84D0F">
        <w:rPr>
          <w:rFonts w:ascii="Calibri" w:eastAsia="Calibri" w:hAnsi="Calibri" w:cs="Calibri"/>
        </w:rPr>
        <w:t xml:space="preserve"> that are</w:t>
      </w:r>
      <w:r w:rsidRPr="3E0F598F">
        <w:rPr>
          <w:rFonts w:ascii="Calibri" w:eastAsia="Calibri" w:hAnsi="Calibri" w:cs="Calibri"/>
        </w:rPr>
        <w:t xml:space="preserve"> essential </w:t>
      </w:r>
      <w:r w:rsidR="00103127">
        <w:rPr>
          <w:rFonts w:ascii="Calibri" w:eastAsia="Calibri" w:hAnsi="Calibri" w:cs="Calibri"/>
        </w:rPr>
        <w:t>to</w:t>
      </w:r>
      <w:r w:rsidRPr="3E0F598F">
        <w:rPr>
          <w:rFonts w:ascii="Calibri" w:eastAsia="Calibri" w:hAnsi="Calibri" w:cs="Calibri"/>
        </w:rPr>
        <w:t xml:space="preserve"> the Federal technology ecosystem. </w:t>
      </w:r>
      <w:r w:rsidR="00F84D0F">
        <w:rPr>
          <w:rFonts w:ascii="Calibri" w:eastAsia="Calibri" w:hAnsi="Calibri" w:cs="Calibri"/>
        </w:rPr>
        <w:t>With pricing</w:t>
      </w:r>
      <w:r w:rsidR="00353401">
        <w:rPr>
          <w:rFonts w:ascii="Calibri" w:eastAsia="Calibri" w:hAnsi="Calibri" w:cs="Calibri"/>
        </w:rPr>
        <w:t xml:space="preserve"> based</w:t>
      </w:r>
      <w:r w:rsidRPr="3E0F598F">
        <w:rPr>
          <w:rFonts w:ascii="Calibri" w:eastAsia="Calibri" w:hAnsi="Calibri" w:cs="Calibri"/>
        </w:rPr>
        <w:t xml:space="preserve"> on the commercial market via consideration of numerous consumer requirements and market demand, it </w:t>
      </w:r>
      <w:r w:rsidRPr="002C355C">
        <w:rPr>
          <w:rFonts w:ascii="Calibri" w:eastAsia="Calibri" w:hAnsi="Calibri" w:cs="Calibri"/>
        </w:rPr>
        <w:t>does not make sense</w:t>
      </w:r>
      <w:r w:rsidR="00500045">
        <w:rPr>
          <w:rStyle w:val="FootnoteReference"/>
          <w:rFonts w:ascii="Calibri" w:eastAsia="Calibri" w:hAnsi="Calibri" w:cs="Calibri"/>
          <w:color w:val="0563C1" w:themeColor="hyperlink"/>
          <w:u w:val="single"/>
        </w:rPr>
        <w:footnoteReference w:id="14"/>
      </w:r>
      <w:r w:rsidRPr="3E0F598F">
        <w:rPr>
          <w:rFonts w:ascii="Calibri" w:eastAsia="Calibri" w:hAnsi="Calibri" w:cs="Calibri"/>
        </w:rPr>
        <w:t xml:space="preserve"> to force </w:t>
      </w:r>
      <w:r w:rsidR="00383AAA">
        <w:rPr>
          <w:rFonts w:ascii="Calibri" w:eastAsia="Calibri" w:hAnsi="Calibri" w:cs="Calibri"/>
        </w:rPr>
        <w:t>these services</w:t>
      </w:r>
      <w:r w:rsidRPr="3E0F598F">
        <w:rPr>
          <w:rFonts w:ascii="Calibri" w:eastAsia="Calibri" w:hAnsi="Calibri" w:cs="Calibri"/>
        </w:rPr>
        <w:t xml:space="preserve"> to </w:t>
      </w:r>
      <w:r w:rsidR="00353401">
        <w:rPr>
          <w:rFonts w:ascii="Calibri" w:eastAsia="Calibri" w:hAnsi="Calibri" w:cs="Calibri"/>
        </w:rPr>
        <w:t xml:space="preserve">conform to the procedures and restrictions of the </w:t>
      </w:r>
      <w:r w:rsidRPr="3E0F598F">
        <w:rPr>
          <w:rFonts w:ascii="Calibri" w:eastAsia="Calibri" w:hAnsi="Calibri" w:cs="Calibri"/>
        </w:rPr>
        <w:t>PRC and CSP.</w:t>
      </w:r>
    </w:p>
    <w:p w14:paraId="6574C654" w14:textId="56F501BF" w:rsidR="00795103" w:rsidRDefault="692FEDCC" w:rsidP="3E0F598F">
      <w:pPr>
        <w:spacing w:line="257" w:lineRule="auto"/>
      </w:pPr>
      <w:r w:rsidRPr="3E0F598F">
        <w:rPr>
          <w:rFonts w:ascii="Calibri" w:eastAsia="Calibri" w:hAnsi="Calibri" w:cs="Calibri"/>
        </w:rPr>
        <w:t xml:space="preserve">The demand for services among Federal purchasers has increased </w:t>
      </w:r>
      <w:r w:rsidR="00725935" w:rsidRPr="3E0F598F">
        <w:rPr>
          <w:rFonts w:ascii="Calibri" w:eastAsia="Calibri" w:hAnsi="Calibri" w:cs="Calibri"/>
        </w:rPr>
        <w:t>in line with commercial market</w:t>
      </w:r>
      <w:r w:rsidR="00725935">
        <w:rPr>
          <w:rFonts w:ascii="Calibri" w:eastAsia="Calibri" w:hAnsi="Calibri" w:cs="Calibri"/>
        </w:rPr>
        <w:t xml:space="preserve"> </w:t>
      </w:r>
      <w:r w:rsidR="00691AA6">
        <w:rPr>
          <w:rFonts w:ascii="Calibri" w:eastAsia="Calibri" w:hAnsi="Calibri" w:cs="Calibri"/>
        </w:rPr>
        <w:t xml:space="preserve">to the point that </w:t>
      </w:r>
      <w:r w:rsidR="00DA21D4">
        <w:rPr>
          <w:rFonts w:ascii="Calibri" w:eastAsia="Calibri" w:hAnsi="Calibri" w:cs="Calibri"/>
        </w:rPr>
        <w:t xml:space="preserve">that services make up </w:t>
      </w:r>
      <w:proofErr w:type="gramStart"/>
      <w:r w:rsidR="00DA21D4">
        <w:rPr>
          <w:rFonts w:ascii="Calibri" w:eastAsia="Calibri" w:hAnsi="Calibri" w:cs="Calibri"/>
        </w:rPr>
        <w:t>the majority of</w:t>
      </w:r>
      <w:proofErr w:type="gramEnd"/>
      <w:r w:rsidR="00DA21D4">
        <w:rPr>
          <w:rFonts w:ascii="Calibri" w:eastAsia="Calibri" w:hAnsi="Calibri" w:cs="Calibri"/>
        </w:rPr>
        <w:t xml:space="preserve"> Schedule sales in dollar terms</w:t>
      </w:r>
      <w:r w:rsidRPr="3E0F598F">
        <w:rPr>
          <w:rFonts w:ascii="Calibri" w:eastAsia="Calibri" w:hAnsi="Calibri" w:cs="Calibri"/>
        </w:rPr>
        <w:t>. Professional Services were the second largest category by gross sales on the Schedules in Fiscal Year 2021, and much of the largest category</w:t>
      </w:r>
      <w:r w:rsidR="007D14EB">
        <w:rPr>
          <w:rFonts w:ascii="Calibri" w:eastAsia="Calibri" w:hAnsi="Calibri" w:cs="Calibri"/>
        </w:rPr>
        <w:t xml:space="preserve">, </w:t>
      </w:r>
      <w:r w:rsidRPr="3E0F598F">
        <w:rPr>
          <w:rFonts w:ascii="Calibri" w:eastAsia="Calibri" w:hAnsi="Calibri" w:cs="Calibri"/>
        </w:rPr>
        <w:t>Information Technology</w:t>
      </w:r>
      <w:r w:rsidR="007D14EB">
        <w:rPr>
          <w:rFonts w:ascii="Calibri" w:eastAsia="Calibri" w:hAnsi="Calibri" w:cs="Calibri"/>
        </w:rPr>
        <w:t xml:space="preserve">, </w:t>
      </w:r>
      <w:r w:rsidRPr="3E0F598F">
        <w:rPr>
          <w:rFonts w:ascii="Calibri" w:eastAsia="Calibri" w:hAnsi="Calibri" w:cs="Calibri"/>
        </w:rPr>
        <w:t xml:space="preserve">also </w:t>
      </w:r>
      <w:r w:rsidR="007D14EB">
        <w:rPr>
          <w:rFonts w:ascii="Calibri" w:eastAsia="Calibri" w:hAnsi="Calibri" w:cs="Calibri"/>
        </w:rPr>
        <w:t xml:space="preserve">is comprised of </w:t>
      </w:r>
      <w:r w:rsidRPr="3E0F598F">
        <w:rPr>
          <w:rFonts w:ascii="Calibri" w:eastAsia="Calibri" w:hAnsi="Calibri" w:cs="Calibri"/>
        </w:rPr>
        <w:t>services</w:t>
      </w:r>
      <w:r w:rsidR="002F1A0C">
        <w:rPr>
          <w:rStyle w:val="FootnoteReference"/>
          <w:rFonts w:ascii="Calibri" w:eastAsia="Calibri" w:hAnsi="Calibri" w:cs="Calibri"/>
        </w:rPr>
        <w:footnoteReference w:id="15"/>
      </w:r>
      <w:r w:rsidRPr="3E0F598F">
        <w:rPr>
          <w:rFonts w:ascii="Calibri" w:eastAsia="Calibri" w:hAnsi="Calibri" w:cs="Calibri"/>
        </w:rPr>
        <w:t xml:space="preserve">. We do have concerns, as we address in </w:t>
      </w:r>
      <w:r w:rsidR="002A372E">
        <w:rPr>
          <w:rFonts w:ascii="Calibri" w:eastAsia="Calibri" w:hAnsi="Calibri" w:cs="Calibri"/>
        </w:rPr>
        <w:t>(</w:t>
      </w:r>
      <w:r w:rsidRPr="3E0F598F">
        <w:rPr>
          <w:rFonts w:ascii="Calibri" w:eastAsia="Calibri" w:hAnsi="Calibri" w:cs="Calibri"/>
        </w:rPr>
        <w:t>III</w:t>
      </w:r>
      <w:r w:rsidR="002A372E">
        <w:rPr>
          <w:rFonts w:ascii="Calibri" w:eastAsia="Calibri" w:hAnsi="Calibri" w:cs="Calibri"/>
        </w:rPr>
        <w:t>)</w:t>
      </w:r>
      <w:r w:rsidRPr="3E0F598F">
        <w:rPr>
          <w:rFonts w:ascii="Calibri" w:eastAsia="Calibri" w:hAnsi="Calibri" w:cs="Calibri"/>
        </w:rPr>
        <w:t xml:space="preserve">, that transactional data may have limited utility when pricing services and solutions. </w:t>
      </w:r>
      <w:r w:rsidR="00C37B91">
        <w:rPr>
          <w:rFonts w:ascii="Calibri" w:eastAsia="Calibri" w:hAnsi="Calibri" w:cs="Calibri"/>
        </w:rPr>
        <w:t>N</w:t>
      </w:r>
      <w:r w:rsidRPr="3E0F598F">
        <w:rPr>
          <w:rFonts w:ascii="Calibri" w:eastAsia="Calibri" w:hAnsi="Calibri" w:cs="Calibri"/>
        </w:rPr>
        <w:t>evertheless</w:t>
      </w:r>
      <w:r w:rsidR="00C37B91">
        <w:rPr>
          <w:rFonts w:ascii="Calibri" w:eastAsia="Calibri" w:hAnsi="Calibri" w:cs="Calibri"/>
        </w:rPr>
        <w:t>, TDR would</w:t>
      </w:r>
      <w:r w:rsidRPr="3E0F598F">
        <w:rPr>
          <w:rFonts w:ascii="Calibri" w:eastAsia="Calibri" w:hAnsi="Calibri" w:cs="Calibri"/>
        </w:rPr>
        <w:t xml:space="preserve"> </w:t>
      </w:r>
      <w:r w:rsidR="00D8071E">
        <w:rPr>
          <w:rFonts w:ascii="Calibri" w:eastAsia="Calibri" w:hAnsi="Calibri" w:cs="Calibri"/>
        </w:rPr>
        <w:t>help</w:t>
      </w:r>
      <w:r w:rsidRPr="3E0F598F">
        <w:rPr>
          <w:rFonts w:ascii="Calibri" w:eastAsia="Calibri" w:hAnsi="Calibri" w:cs="Calibri"/>
        </w:rPr>
        <w:t xml:space="preserve"> by </w:t>
      </w:r>
      <w:r w:rsidR="00675665">
        <w:rPr>
          <w:rFonts w:ascii="Calibri" w:eastAsia="Calibri" w:hAnsi="Calibri" w:cs="Calibri"/>
        </w:rPr>
        <w:t>ending</w:t>
      </w:r>
      <w:r w:rsidRPr="3E0F598F">
        <w:rPr>
          <w:rFonts w:ascii="Calibri" w:eastAsia="Calibri" w:hAnsi="Calibri" w:cs="Calibri"/>
        </w:rPr>
        <w:t xml:space="preserve"> the need for contractors </w:t>
      </w:r>
      <w:r w:rsidR="006D6C68">
        <w:rPr>
          <w:rFonts w:ascii="Calibri" w:eastAsia="Calibri" w:hAnsi="Calibri" w:cs="Calibri"/>
        </w:rPr>
        <w:t>(</w:t>
      </w:r>
      <w:proofErr w:type="spellStart"/>
      <w:r w:rsidR="006D6C68">
        <w:rPr>
          <w:rFonts w:ascii="Calibri" w:eastAsia="Calibri" w:hAnsi="Calibri" w:cs="Calibri"/>
        </w:rPr>
        <w:t>i</w:t>
      </w:r>
      <w:proofErr w:type="spellEnd"/>
      <w:r w:rsidR="006D6C68">
        <w:rPr>
          <w:rFonts w:ascii="Calibri" w:eastAsia="Calibri" w:hAnsi="Calibri" w:cs="Calibri"/>
        </w:rPr>
        <w:t xml:space="preserve">) </w:t>
      </w:r>
      <w:r w:rsidRPr="3E0F598F">
        <w:rPr>
          <w:rFonts w:ascii="Calibri" w:eastAsia="Calibri" w:hAnsi="Calibri" w:cs="Calibri"/>
        </w:rPr>
        <w:t>to monitor what offerings it makes to its BOA customers and</w:t>
      </w:r>
      <w:r w:rsidR="006D6C68">
        <w:rPr>
          <w:rFonts w:ascii="Calibri" w:eastAsia="Calibri" w:hAnsi="Calibri" w:cs="Calibri"/>
        </w:rPr>
        <w:t xml:space="preserve"> (ii)</w:t>
      </w:r>
      <w:r w:rsidRPr="3E0F598F">
        <w:rPr>
          <w:rFonts w:ascii="Calibri" w:eastAsia="Calibri" w:hAnsi="Calibri" w:cs="Calibri"/>
        </w:rPr>
        <w:t xml:space="preserve"> </w:t>
      </w:r>
      <w:r w:rsidR="006D6C68">
        <w:rPr>
          <w:rFonts w:ascii="Calibri" w:eastAsia="Calibri" w:hAnsi="Calibri" w:cs="Calibri"/>
        </w:rPr>
        <w:t xml:space="preserve">to </w:t>
      </w:r>
      <w:r w:rsidRPr="3E0F598F">
        <w:rPr>
          <w:rFonts w:ascii="Calibri" w:eastAsia="Calibri" w:hAnsi="Calibri" w:cs="Calibri"/>
        </w:rPr>
        <w:t>determine whether an offering constitutes a price reduction.</w:t>
      </w:r>
    </w:p>
    <w:p w14:paraId="66299673" w14:textId="0F3A3A6A" w:rsidR="00795103" w:rsidRDefault="00222703" w:rsidP="3E0F598F">
      <w:pPr>
        <w:spacing w:line="257" w:lineRule="auto"/>
      </w:pPr>
      <w:r>
        <w:rPr>
          <w:rFonts w:ascii="Calibri" w:eastAsia="Calibri" w:hAnsi="Calibri" w:cs="Calibri"/>
        </w:rPr>
        <w:t xml:space="preserve">Another important consideration is </w:t>
      </w:r>
      <w:r w:rsidR="00211A44">
        <w:rPr>
          <w:rFonts w:ascii="Calibri" w:eastAsia="Calibri" w:hAnsi="Calibri" w:cs="Calibri"/>
        </w:rPr>
        <w:t>that changes</w:t>
      </w:r>
      <w:r>
        <w:rPr>
          <w:rFonts w:ascii="Calibri" w:eastAsia="Calibri" w:hAnsi="Calibri" w:cs="Calibri"/>
        </w:rPr>
        <w:t xml:space="preserve"> to the MAS program itself that</w:t>
      </w:r>
      <w:r w:rsidR="00211A44">
        <w:rPr>
          <w:rFonts w:ascii="Calibri" w:eastAsia="Calibri" w:hAnsi="Calibri" w:cs="Calibri"/>
        </w:rPr>
        <w:t xml:space="preserve"> increase task-order level competition</w:t>
      </w:r>
      <w:r>
        <w:rPr>
          <w:rFonts w:ascii="Calibri" w:eastAsia="Calibri" w:hAnsi="Calibri" w:cs="Calibri"/>
        </w:rPr>
        <w:t xml:space="preserve"> have made </w:t>
      </w:r>
      <w:r w:rsidR="008B0E07">
        <w:rPr>
          <w:rFonts w:ascii="Calibri" w:eastAsia="Calibri" w:hAnsi="Calibri" w:cs="Calibri"/>
        </w:rPr>
        <w:t xml:space="preserve">the </w:t>
      </w:r>
      <w:r>
        <w:rPr>
          <w:rFonts w:ascii="Calibri" w:eastAsia="Calibri" w:hAnsi="Calibri" w:cs="Calibri"/>
        </w:rPr>
        <w:t>PRC and contract-level pricing</w:t>
      </w:r>
      <w:r w:rsidR="008B0E07">
        <w:rPr>
          <w:rFonts w:ascii="Calibri" w:eastAsia="Calibri" w:hAnsi="Calibri" w:cs="Calibri"/>
        </w:rPr>
        <w:t xml:space="preserve"> in general</w:t>
      </w:r>
      <w:r>
        <w:rPr>
          <w:rFonts w:ascii="Calibri" w:eastAsia="Calibri" w:hAnsi="Calibri" w:cs="Calibri"/>
        </w:rPr>
        <w:t xml:space="preserve"> less important. </w:t>
      </w:r>
      <w:r w:rsidR="692FEDCC" w:rsidRPr="3E0F598F">
        <w:rPr>
          <w:rFonts w:ascii="Calibri" w:eastAsia="Calibri" w:hAnsi="Calibri" w:cs="Calibri"/>
        </w:rPr>
        <w:t>As GSA noted in response to the OIG’s recent report</w:t>
      </w:r>
      <w:r w:rsidR="00F56338">
        <w:rPr>
          <w:rFonts w:ascii="Calibri" w:eastAsia="Calibri" w:hAnsi="Calibri" w:cs="Calibri"/>
        </w:rPr>
        <w:t>,</w:t>
      </w:r>
      <w:r w:rsidR="692FEDCC" w:rsidRPr="3E0F598F">
        <w:rPr>
          <w:rFonts w:ascii="Calibri" w:eastAsia="Calibri" w:hAnsi="Calibri" w:cs="Calibri"/>
        </w:rPr>
        <w:t xml:space="preserve"> </w:t>
      </w:r>
      <w:r w:rsidR="692FEDCC" w:rsidRPr="3E0F598F">
        <w:rPr>
          <w:rFonts w:ascii="Calibri" w:eastAsia="Calibri" w:hAnsi="Calibri" w:cs="Calibri"/>
          <w:i/>
          <w:iCs/>
        </w:rPr>
        <w:t>FAS Cannot Provide Assurance That MAS Contract Pricing Results in Orders Achieving the Lowest Overall Cost Alternative</w:t>
      </w:r>
      <w:r w:rsidR="692FEDCC" w:rsidRPr="3E0F598F">
        <w:rPr>
          <w:rFonts w:ascii="Calibri" w:eastAsia="Calibri" w:hAnsi="Calibri" w:cs="Calibri"/>
        </w:rPr>
        <w:t xml:space="preserve">, the </w:t>
      </w:r>
      <w:proofErr w:type="gramStart"/>
      <w:r w:rsidR="692FEDCC" w:rsidRPr="3E0F598F">
        <w:rPr>
          <w:rFonts w:ascii="Calibri" w:eastAsia="Calibri" w:hAnsi="Calibri" w:cs="Calibri"/>
        </w:rPr>
        <w:t>PRC</w:t>
      </w:r>
      <w:proofErr w:type="gramEnd"/>
      <w:r w:rsidR="692FEDCC" w:rsidRPr="3E0F598F">
        <w:rPr>
          <w:rFonts w:ascii="Calibri" w:eastAsia="Calibri" w:hAnsi="Calibri" w:cs="Calibri"/>
        </w:rPr>
        <w:t xml:space="preserve"> and commercial sales disclosures, which fundamentally</w:t>
      </w:r>
      <w:r w:rsidR="00172DDE">
        <w:rPr>
          <w:rFonts w:ascii="Calibri" w:eastAsia="Calibri" w:hAnsi="Calibri" w:cs="Calibri"/>
        </w:rPr>
        <w:t xml:space="preserve"> are</w:t>
      </w:r>
      <w:r w:rsidR="692FEDCC" w:rsidRPr="3E0F598F">
        <w:rPr>
          <w:rFonts w:ascii="Calibri" w:eastAsia="Calibri" w:hAnsi="Calibri" w:cs="Calibri"/>
        </w:rPr>
        <w:t xml:space="preserve"> contract-level pricing measures and which establish a ceiling price, are no</w:t>
      </w:r>
      <w:r w:rsidR="0053037B">
        <w:rPr>
          <w:rFonts w:ascii="Calibri" w:eastAsia="Calibri" w:hAnsi="Calibri" w:cs="Calibri"/>
        </w:rPr>
        <w:t xml:space="preserve"> longer</w:t>
      </w:r>
      <w:r w:rsidR="692FEDCC" w:rsidRPr="3E0F598F">
        <w:rPr>
          <w:rFonts w:ascii="Calibri" w:eastAsia="Calibri" w:hAnsi="Calibri" w:cs="Calibri"/>
        </w:rPr>
        <w:t xml:space="preserve"> the sole means that GSA uses to assure customers that they are receiving the lowest overall cost alternative. Digital tools</w:t>
      </w:r>
      <w:r w:rsidR="00172DDE">
        <w:rPr>
          <w:rFonts w:ascii="Calibri" w:eastAsia="Calibri" w:hAnsi="Calibri" w:cs="Calibri"/>
        </w:rPr>
        <w:t>,</w:t>
      </w:r>
      <w:r w:rsidR="692FEDCC" w:rsidRPr="3E0F598F">
        <w:rPr>
          <w:rFonts w:ascii="Calibri" w:eastAsia="Calibri" w:hAnsi="Calibri" w:cs="Calibri"/>
        </w:rPr>
        <w:t xml:space="preserve"> like GSA </w:t>
      </w:r>
      <w:proofErr w:type="gramStart"/>
      <w:r w:rsidR="692FEDCC" w:rsidRPr="3E0F598F">
        <w:rPr>
          <w:rFonts w:ascii="Calibri" w:eastAsia="Calibri" w:hAnsi="Calibri" w:cs="Calibri"/>
        </w:rPr>
        <w:t>Advantage!</w:t>
      </w:r>
      <w:r w:rsidR="00172DDE">
        <w:rPr>
          <w:rFonts w:ascii="Calibri" w:eastAsia="Calibri" w:hAnsi="Calibri" w:cs="Calibri"/>
        </w:rPr>
        <w:t>,</w:t>
      </w:r>
      <w:proofErr w:type="gramEnd"/>
      <w:r w:rsidR="692FEDCC" w:rsidRPr="3E0F598F">
        <w:rPr>
          <w:rFonts w:ascii="Calibri" w:eastAsia="Calibri" w:hAnsi="Calibri" w:cs="Calibri"/>
        </w:rPr>
        <w:t xml:space="preserve"> allow purchasers to compare prices easily for the millions of supplies and services on </w:t>
      </w:r>
      <w:r w:rsidR="00B34C52">
        <w:rPr>
          <w:rFonts w:ascii="Calibri" w:eastAsia="Calibri" w:hAnsi="Calibri" w:cs="Calibri"/>
        </w:rPr>
        <w:t>S</w:t>
      </w:r>
      <w:r w:rsidR="692FEDCC" w:rsidRPr="3E0F598F">
        <w:rPr>
          <w:rFonts w:ascii="Calibri" w:eastAsia="Calibri" w:hAnsi="Calibri" w:cs="Calibri"/>
        </w:rPr>
        <w:t xml:space="preserve">chedule. The FAR also mandates competitive procedures for most ordering activity through MAS. For purchases of supplies and services that exceed the Micro Purchase Threshold, but not </w:t>
      </w:r>
      <w:r w:rsidR="692FEDCC" w:rsidRPr="3E0F598F">
        <w:rPr>
          <w:rFonts w:ascii="Calibri" w:eastAsia="Calibri" w:hAnsi="Calibri" w:cs="Calibri"/>
        </w:rPr>
        <w:lastRenderedPageBreak/>
        <w:t>the Simplified Acquisition Threshold (SAT), contracting officers must compare at least three sources</w:t>
      </w:r>
      <w:r w:rsidR="00F9763D">
        <w:rPr>
          <w:rFonts w:ascii="Calibri" w:eastAsia="Calibri" w:hAnsi="Calibri" w:cs="Calibri"/>
        </w:rPr>
        <w:t>. For</w:t>
      </w:r>
      <w:r w:rsidR="692FEDCC" w:rsidRPr="3E0F598F">
        <w:rPr>
          <w:rFonts w:ascii="Calibri" w:eastAsia="Calibri" w:hAnsi="Calibri" w:cs="Calibri"/>
        </w:rPr>
        <w:t xml:space="preserve"> </w:t>
      </w:r>
      <w:r w:rsidR="00202E7B">
        <w:rPr>
          <w:rFonts w:ascii="Calibri" w:eastAsia="Calibri" w:hAnsi="Calibri" w:cs="Calibri"/>
        </w:rPr>
        <w:t xml:space="preserve">purchases </w:t>
      </w:r>
      <w:r w:rsidR="00F9763D">
        <w:rPr>
          <w:rFonts w:ascii="Calibri" w:eastAsia="Calibri" w:hAnsi="Calibri" w:cs="Calibri"/>
        </w:rPr>
        <w:t>exceeding the</w:t>
      </w:r>
      <w:r w:rsidR="692FEDCC" w:rsidRPr="3E0F598F">
        <w:rPr>
          <w:rFonts w:ascii="Calibri" w:eastAsia="Calibri" w:hAnsi="Calibri" w:cs="Calibri"/>
        </w:rPr>
        <w:t xml:space="preserve"> SAT, the contracting officer must run a competition through GSA E-Buy and request a price reduction from the contractor. If sufficiently robust competition is not found</w:t>
      </w:r>
      <w:r w:rsidR="00202E7B">
        <w:rPr>
          <w:rFonts w:ascii="Calibri" w:eastAsia="Calibri" w:hAnsi="Calibri" w:cs="Calibri"/>
        </w:rPr>
        <w:t>,</w:t>
      </w:r>
      <w:r w:rsidR="692FEDCC" w:rsidRPr="3E0F598F">
        <w:rPr>
          <w:rFonts w:ascii="Calibri" w:eastAsia="Calibri" w:hAnsi="Calibri" w:cs="Calibri"/>
        </w:rPr>
        <w:t xml:space="preserve"> or </w:t>
      </w:r>
      <w:r w:rsidR="00202E7B">
        <w:rPr>
          <w:rFonts w:ascii="Calibri" w:eastAsia="Calibri" w:hAnsi="Calibri" w:cs="Calibri"/>
        </w:rPr>
        <w:t xml:space="preserve">the </w:t>
      </w:r>
      <w:r w:rsidR="692FEDCC" w:rsidRPr="3E0F598F">
        <w:rPr>
          <w:rFonts w:ascii="Calibri" w:eastAsia="Calibri" w:hAnsi="Calibri" w:cs="Calibri"/>
        </w:rPr>
        <w:t xml:space="preserve">contracting officers decide to deviate from competitive procedures at any level, they must provide written justifications for their decisions. These measures work together to create competitive markets among contractors at the task-order level and drive prices downward without the PRC. GSA’s own assessments and independent evaluations, which have found that MAS </w:t>
      </w:r>
      <w:r w:rsidR="002668C2">
        <w:rPr>
          <w:rFonts w:ascii="Calibri" w:eastAsia="Calibri" w:hAnsi="Calibri" w:cs="Calibri"/>
        </w:rPr>
        <w:t>is less expensive than</w:t>
      </w:r>
      <w:r w:rsidR="692FEDCC" w:rsidRPr="3E0F598F">
        <w:rPr>
          <w:rFonts w:ascii="Calibri" w:eastAsia="Calibri" w:hAnsi="Calibri" w:cs="Calibri"/>
        </w:rPr>
        <w:t xml:space="preserve"> other government contract vehicles and is competitive with the commercial market, confirm their success.</w:t>
      </w:r>
      <w:r w:rsidR="00997DAE">
        <w:rPr>
          <w:rStyle w:val="FootnoteReference"/>
          <w:rFonts w:ascii="Calibri" w:eastAsia="Calibri" w:hAnsi="Calibri" w:cs="Calibri"/>
        </w:rPr>
        <w:footnoteReference w:id="16"/>
      </w:r>
    </w:p>
    <w:p w14:paraId="33D8781F" w14:textId="6EDEF82B" w:rsidR="00795103" w:rsidRDefault="692FEDCC" w:rsidP="3E0F598F">
      <w:pPr>
        <w:spacing w:line="257" w:lineRule="auto"/>
      </w:pPr>
      <w:r w:rsidRPr="3E0F598F">
        <w:rPr>
          <w:rFonts w:ascii="Calibri" w:eastAsia="Calibri" w:hAnsi="Calibri" w:cs="Calibri"/>
        </w:rPr>
        <w:t xml:space="preserve">Finally, despite the attempts at reform discussed in (I)(ii), improvements to the CSP and PRC have not </w:t>
      </w:r>
      <w:r w:rsidR="00711475">
        <w:rPr>
          <w:rFonts w:ascii="Calibri" w:eastAsia="Calibri" w:hAnsi="Calibri" w:cs="Calibri"/>
        </w:rPr>
        <w:t>reduced compliance burdens as much as hoped.</w:t>
      </w:r>
      <w:r w:rsidRPr="3E0F598F">
        <w:rPr>
          <w:rFonts w:ascii="Calibri" w:eastAsia="Calibri" w:hAnsi="Calibri" w:cs="Calibri"/>
        </w:rPr>
        <w:t xml:space="preserve"> The replacement of the DSMD with the CSP represented, on its face, an improvement in contractor’s initial information collection burden</w:t>
      </w:r>
      <w:r w:rsidR="00F06C9A">
        <w:rPr>
          <w:rFonts w:ascii="Calibri" w:eastAsia="Calibri" w:hAnsi="Calibri" w:cs="Calibri"/>
        </w:rPr>
        <w:t xml:space="preserve">. </w:t>
      </w:r>
      <w:r w:rsidR="002C4838">
        <w:rPr>
          <w:rFonts w:ascii="Calibri" w:eastAsia="Calibri" w:hAnsi="Calibri" w:cs="Calibri"/>
        </w:rPr>
        <w:t>A</w:t>
      </w:r>
      <w:r w:rsidRPr="3E0F598F">
        <w:rPr>
          <w:rFonts w:ascii="Calibri" w:eastAsia="Calibri" w:hAnsi="Calibri" w:cs="Calibri"/>
        </w:rPr>
        <w:t xml:space="preserve">s we noted in our 2013 White Paper on MAS Pricing, </w:t>
      </w:r>
      <w:r w:rsidR="002C4838">
        <w:rPr>
          <w:rFonts w:ascii="Calibri" w:eastAsia="Calibri" w:hAnsi="Calibri" w:cs="Calibri"/>
        </w:rPr>
        <w:t xml:space="preserve">however, </w:t>
      </w:r>
      <w:r w:rsidR="00F06C9A">
        <w:rPr>
          <w:rFonts w:ascii="Calibri" w:eastAsia="Calibri" w:hAnsi="Calibri" w:cs="Calibri"/>
        </w:rPr>
        <w:t>most</w:t>
      </w:r>
      <w:r w:rsidRPr="3E0F598F">
        <w:rPr>
          <w:rFonts w:ascii="Calibri" w:eastAsia="Calibri" w:hAnsi="Calibri" w:cs="Calibri"/>
        </w:rPr>
        <w:t xml:space="preserve"> solicitations additionally require line-item pricing disclosures through a “discount proposal spreadsheet” or “MFC pricing matrix.” These </w:t>
      </w:r>
      <w:r w:rsidR="005C03C2">
        <w:rPr>
          <w:rFonts w:ascii="Calibri" w:eastAsia="Calibri" w:hAnsi="Calibri" w:cs="Calibri"/>
        </w:rPr>
        <w:t>disclosures</w:t>
      </w:r>
      <w:r w:rsidRPr="3E0F598F">
        <w:rPr>
          <w:rFonts w:ascii="Calibri" w:eastAsia="Calibri" w:hAnsi="Calibri" w:cs="Calibri"/>
        </w:rPr>
        <w:t xml:space="preserve"> do not entail as much historical data as the DSMD theoretically did. Yet</w:t>
      </w:r>
      <w:r w:rsidR="00054D0F">
        <w:rPr>
          <w:rFonts w:ascii="Calibri" w:eastAsia="Calibri" w:hAnsi="Calibri" w:cs="Calibri"/>
        </w:rPr>
        <w:t>,</w:t>
      </w:r>
      <w:r w:rsidRPr="3E0F598F">
        <w:rPr>
          <w:rFonts w:ascii="Calibri" w:eastAsia="Calibri" w:hAnsi="Calibri" w:cs="Calibri"/>
        </w:rPr>
        <w:t xml:space="preserve"> they are nearly as broad in the type of information required, and they can mislead. A single good or service might be “discounted” when bundled as part of a transaction, but that does not mean it makes sense for the government to pursue the same discount in negotiations for that item purchased alone.</w:t>
      </w:r>
    </w:p>
    <w:p w14:paraId="58432B05" w14:textId="1B517975" w:rsidR="00795103" w:rsidRDefault="692FEDCC" w:rsidP="3E0F598F">
      <w:pPr>
        <w:spacing w:line="257" w:lineRule="auto"/>
      </w:pPr>
      <w:r w:rsidRPr="3E0F598F">
        <w:rPr>
          <w:rFonts w:ascii="Calibri" w:eastAsia="Calibri" w:hAnsi="Calibri" w:cs="Calibri"/>
        </w:rPr>
        <w:t xml:space="preserve">Additionally, </w:t>
      </w:r>
      <w:r w:rsidR="00442800">
        <w:rPr>
          <w:rFonts w:ascii="Calibri" w:eastAsia="Calibri" w:hAnsi="Calibri" w:cs="Calibri"/>
        </w:rPr>
        <w:t xml:space="preserve">compliance with both the </w:t>
      </w:r>
      <w:r w:rsidR="00B738FF">
        <w:rPr>
          <w:rFonts w:ascii="Calibri" w:eastAsia="Calibri" w:hAnsi="Calibri" w:cs="Calibri"/>
        </w:rPr>
        <w:t>CSP and PRC remains</w:t>
      </w:r>
      <w:r w:rsidR="00E4797D">
        <w:rPr>
          <w:rFonts w:ascii="Calibri" w:eastAsia="Calibri" w:hAnsi="Calibri" w:cs="Calibri"/>
        </w:rPr>
        <w:t xml:space="preserve"> </w:t>
      </w:r>
      <w:r w:rsidR="00AD0B00">
        <w:rPr>
          <w:rFonts w:ascii="Calibri" w:eastAsia="Calibri" w:hAnsi="Calibri" w:cs="Calibri"/>
        </w:rPr>
        <w:t xml:space="preserve">excessively challenging, and reforms have </w:t>
      </w:r>
      <w:r w:rsidR="003D2C4C">
        <w:rPr>
          <w:rFonts w:ascii="Calibri" w:eastAsia="Calibri" w:hAnsi="Calibri" w:cs="Calibri"/>
        </w:rPr>
        <w:t>not solved</w:t>
      </w:r>
      <w:r w:rsidR="0039245B">
        <w:rPr>
          <w:rFonts w:ascii="Calibri" w:eastAsia="Calibri" w:hAnsi="Calibri" w:cs="Calibri"/>
        </w:rPr>
        <w:t xml:space="preserve"> the problem</w:t>
      </w:r>
      <w:r w:rsidR="00442800">
        <w:rPr>
          <w:rFonts w:ascii="Calibri" w:eastAsia="Calibri" w:hAnsi="Calibri" w:cs="Calibri"/>
        </w:rPr>
        <w:t xml:space="preserve">. </w:t>
      </w:r>
      <w:r w:rsidR="000254D8">
        <w:rPr>
          <w:rFonts w:ascii="Calibri" w:eastAsia="Calibri" w:hAnsi="Calibri" w:cs="Calibri"/>
        </w:rPr>
        <w:t>T</w:t>
      </w:r>
      <w:r w:rsidRPr="3E0F598F">
        <w:rPr>
          <w:rFonts w:ascii="Calibri" w:eastAsia="Calibri" w:hAnsi="Calibri" w:cs="Calibri"/>
        </w:rPr>
        <w:t xml:space="preserve">he </w:t>
      </w:r>
      <w:r w:rsidR="00734E0A">
        <w:rPr>
          <w:rFonts w:ascii="Calibri" w:eastAsia="Calibri" w:hAnsi="Calibri" w:cs="Calibri"/>
        </w:rPr>
        <w:t xml:space="preserve">introduction of the </w:t>
      </w:r>
      <w:r w:rsidRPr="3E0F598F">
        <w:rPr>
          <w:rFonts w:ascii="Calibri" w:eastAsia="Calibri" w:hAnsi="Calibri" w:cs="Calibri"/>
        </w:rPr>
        <w:t>CSP</w:t>
      </w:r>
      <w:r w:rsidR="00F6453A">
        <w:rPr>
          <w:rFonts w:ascii="Calibri" w:eastAsia="Calibri" w:hAnsi="Calibri" w:cs="Calibri"/>
        </w:rPr>
        <w:t xml:space="preserve">, </w:t>
      </w:r>
      <w:r w:rsidR="004D51D4">
        <w:rPr>
          <w:rFonts w:ascii="Calibri" w:eastAsia="Calibri" w:hAnsi="Calibri" w:cs="Calibri"/>
        </w:rPr>
        <w:t>although</w:t>
      </w:r>
      <w:r w:rsidR="00F6453A">
        <w:rPr>
          <w:rFonts w:ascii="Calibri" w:eastAsia="Calibri" w:hAnsi="Calibri" w:cs="Calibri"/>
        </w:rPr>
        <w:t xml:space="preserve"> well-intentioned,</w:t>
      </w:r>
      <w:r w:rsidRPr="3E0F598F">
        <w:rPr>
          <w:rFonts w:ascii="Calibri" w:eastAsia="Calibri" w:hAnsi="Calibri" w:cs="Calibri"/>
        </w:rPr>
        <w:t xml:space="preserve"> </w:t>
      </w:r>
      <w:r w:rsidR="00F6453A">
        <w:rPr>
          <w:rFonts w:ascii="Calibri" w:eastAsia="Calibri" w:hAnsi="Calibri" w:cs="Calibri"/>
        </w:rPr>
        <w:t>perpetuated the legal risk created by past</w:t>
      </w:r>
      <w:r w:rsidRPr="3E0F598F">
        <w:rPr>
          <w:rFonts w:ascii="Calibri" w:eastAsia="Calibri" w:hAnsi="Calibri" w:cs="Calibri"/>
        </w:rPr>
        <w:t xml:space="preserve"> commercial sales practice disclosure</w:t>
      </w:r>
      <w:r w:rsidR="00F6453A">
        <w:rPr>
          <w:rFonts w:ascii="Calibri" w:eastAsia="Calibri" w:hAnsi="Calibri" w:cs="Calibri"/>
        </w:rPr>
        <w:t xml:space="preserve"> measures </w:t>
      </w:r>
      <w:r w:rsidRPr="3E0F598F">
        <w:rPr>
          <w:rFonts w:ascii="Calibri" w:eastAsia="Calibri" w:hAnsi="Calibri" w:cs="Calibri"/>
        </w:rPr>
        <w:t xml:space="preserve">because </w:t>
      </w:r>
      <w:r w:rsidR="00F6453A">
        <w:rPr>
          <w:rFonts w:ascii="Calibri" w:eastAsia="Calibri" w:hAnsi="Calibri" w:cs="Calibri"/>
        </w:rPr>
        <w:t>it lack</w:t>
      </w:r>
      <w:r w:rsidR="0018682B">
        <w:rPr>
          <w:rFonts w:ascii="Calibri" w:eastAsia="Calibri" w:hAnsi="Calibri" w:cs="Calibri"/>
        </w:rPr>
        <w:t>ed</w:t>
      </w:r>
      <w:r w:rsidRPr="3E0F598F">
        <w:rPr>
          <w:rFonts w:ascii="Calibri" w:eastAsia="Calibri" w:hAnsi="Calibri" w:cs="Calibri"/>
        </w:rPr>
        <w:t xml:space="preserve"> a definition of the ambiguous term “standard commercial sales practice</w:t>
      </w:r>
      <w:r w:rsidR="0018682B">
        <w:rPr>
          <w:rFonts w:ascii="Calibri" w:eastAsia="Calibri" w:hAnsi="Calibri" w:cs="Calibri"/>
        </w:rPr>
        <w:t>.</w:t>
      </w:r>
      <w:r w:rsidRPr="3E0F598F">
        <w:rPr>
          <w:rFonts w:ascii="Calibri" w:eastAsia="Calibri" w:hAnsi="Calibri" w:cs="Calibri"/>
        </w:rPr>
        <w:t>”. Even when contractors make good-faith efforts to disclose their commercial practices, they still</w:t>
      </w:r>
      <w:r w:rsidR="00B601BA">
        <w:rPr>
          <w:rFonts w:ascii="Calibri" w:eastAsia="Calibri" w:hAnsi="Calibri" w:cs="Calibri"/>
        </w:rPr>
        <w:t xml:space="preserve"> may</w:t>
      </w:r>
      <w:r w:rsidRPr="3E0F598F">
        <w:rPr>
          <w:rFonts w:ascii="Calibri" w:eastAsia="Calibri" w:hAnsi="Calibri" w:cs="Calibri"/>
        </w:rPr>
        <w:t xml:space="preserve"> be vulnerable to actions under the F</w:t>
      </w:r>
      <w:r w:rsidRPr="00AC53EF">
        <w:rPr>
          <w:rFonts w:ascii="Calibri" w:eastAsia="Calibri" w:hAnsi="Calibri" w:cs="Calibri"/>
        </w:rPr>
        <w:t>alse Claims Act because a GSA auditor or the Department of Justice could take a different view of what constitutes a standard commercial practice.</w:t>
      </w:r>
      <w:r w:rsidR="00E4797D" w:rsidRPr="00AC53EF">
        <w:rPr>
          <w:rFonts w:ascii="Calibri" w:eastAsia="Calibri" w:hAnsi="Calibri" w:cs="Calibri"/>
        </w:rPr>
        <w:t xml:space="preserve"> </w:t>
      </w:r>
      <w:r w:rsidR="004E0F26" w:rsidRPr="00AC53EF">
        <w:rPr>
          <w:rFonts w:ascii="Calibri" w:eastAsia="Calibri" w:hAnsi="Calibri" w:cs="Calibri"/>
        </w:rPr>
        <w:t>PRC compliance is also a challenge from a logistical perspective</w:t>
      </w:r>
      <w:r w:rsidR="00E4797D" w:rsidRPr="00AC53EF">
        <w:rPr>
          <w:rFonts w:ascii="Calibri" w:eastAsia="Calibri" w:hAnsi="Calibri" w:cs="Calibri"/>
        </w:rPr>
        <w:t>.</w:t>
      </w:r>
      <w:r w:rsidR="00B110D3" w:rsidRPr="00AC53EF">
        <w:rPr>
          <w:rFonts w:ascii="Calibri" w:eastAsia="Calibri" w:hAnsi="Calibri" w:cs="Calibri"/>
        </w:rPr>
        <w:t xml:space="preserve"> In its report</w:t>
      </w:r>
      <w:r w:rsidR="000569A2">
        <w:rPr>
          <w:rFonts w:ascii="Calibri" w:eastAsia="Calibri" w:hAnsi="Calibri" w:cs="Calibri"/>
        </w:rPr>
        <w:t>,</w:t>
      </w:r>
      <w:r w:rsidR="00B110D3" w:rsidRPr="00AC53EF">
        <w:rPr>
          <w:rFonts w:ascii="Calibri" w:eastAsia="Calibri" w:hAnsi="Calibri" w:cs="Calibri"/>
        </w:rPr>
        <w:t xml:space="preserve"> </w:t>
      </w:r>
      <w:r w:rsidR="00B110D3" w:rsidRPr="00AC53EF">
        <w:rPr>
          <w:rFonts w:ascii="Calibri" w:eastAsia="Calibri" w:hAnsi="Calibri" w:cs="Calibri"/>
          <w:i/>
          <w:iCs/>
        </w:rPr>
        <w:t>Major Issues from Multiple Award Schedules Audits, Audit Memorandum Numbers A120050–3 and A120050–4</w:t>
      </w:r>
      <w:r w:rsidR="00B110D3" w:rsidRPr="00AC53EF">
        <w:rPr>
          <w:rFonts w:ascii="Calibri" w:eastAsia="Calibri" w:hAnsi="Calibri" w:cs="Calibri"/>
        </w:rPr>
        <w:t xml:space="preserve">, </w:t>
      </w:r>
      <w:r w:rsidR="00F35A7B">
        <w:rPr>
          <w:rFonts w:ascii="Calibri" w:eastAsia="Calibri" w:hAnsi="Calibri" w:cs="Calibri"/>
        </w:rPr>
        <w:t xml:space="preserve">the </w:t>
      </w:r>
      <w:r w:rsidR="00B110D3" w:rsidRPr="00AC53EF">
        <w:rPr>
          <w:rFonts w:ascii="Calibri" w:eastAsia="Calibri" w:hAnsi="Calibri" w:cs="Calibri"/>
        </w:rPr>
        <w:t xml:space="preserve">GSA </w:t>
      </w:r>
      <w:r w:rsidR="004E0F26" w:rsidRPr="00AC53EF">
        <w:rPr>
          <w:rFonts w:ascii="Calibri" w:eastAsia="Calibri" w:hAnsi="Calibri" w:cs="Calibri"/>
        </w:rPr>
        <w:t>O</w:t>
      </w:r>
      <w:r w:rsidR="00B110D3" w:rsidRPr="00AC53EF">
        <w:rPr>
          <w:rFonts w:ascii="Calibri" w:eastAsia="Calibri" w:hAnsi="Calibri" w:cs="Calibri"/>
        </w:rPr>
        <w:t>IG found that nearly half of all vendors had inadequate sales monitoring systems and billing systems to ensure proper administration of the price reduction and billing provisions.</w:t>
      </w:r>
      <w:r w:rsidR="00005D71" w:rsidRPr="00AC53EF">
        <w:rPr>
          <w:rFonts w:ascii="Calibri" w:eastAsia="Calibri" w:hAnsi="Calibri" w:cs="Calibri"/>
        </w:rPr>
        <w:t xml:space="preserve"> </w:t>
      </w:r>
      <w:r w:rsidR="00B10C1D">
        <w:rPr>
          <w:rFonts w:ascii="Calibri" w:eastAsia="Calibri" w:hAnsi="Calibri" w:cs="Calibri"/>
        </w:rPr>
        <w:t>The problem, however, is not</w:t>
      </w:r>
      <w:r w:rsidR="00005D71" w:rsidRPr="00AC53EF">
        <w:rPr>
          <w:rFonts w:ascii="Calibri" w:eastAsia="Calibri" w:hAnsi="Calibri" w:cs="Calibri"/>
        </w:rPr>
        <w:t xml:space="preserve"> that half of all</w:t>
      </w:r>
      <w:r w:rsidR="00005D71">
        <w:rPr>
          <w:rFonts w:ascii="Calibri" w:eastAsia="Calibri" w:hAnsi="Calibri" w:cs="Calibri"/>
        </w:rPr>
        <w:t xml:space="preserve"> vendors are ill-intentione</w:t>
      </w:r>
      <w:r w:rsidR="004A4A11">
        <w:rPr>
          <w:rFonts w:ascii="Calibri" w:eastAsia="Calibri" w:hAnsi="Calibri" w:cs="Calibri"/>
        </w:rPr>
        <w:t>d</w:t>
      </w:r>
      <w:r w:rsidR="00101B00">
        <w:rPr>
          <w:rFonts w:ascii="Calibri" w:eastAsia="Calibri" w:hAnsi="Calibri" w:cs="Calibri"/>
        </w:rPr>
        <w:t>;</w:t>
      </w:r>
      <w:r w:rsidR="009845CE">
        <w:rPr>
          <w:rFonts w:ascii="Calibri" w:eastAsia="Calibri" w:hAnsi="Calibri" w:cs="Calibri"/>
        </w:rPr>
        <w:t xml:space="preserve"> </w:t>
      </w:r>
      <w:r w:rsidR="00B10C1D">
        <w:rPr>
          <w:rFonts w:ascii="Calibri" w:eastAsia="Calibri" w:hAnsi="Calibri" w:cs="Calibri"/>
        </w:rPr>
        <w:t>it is</w:t>
      </w:r>
      <w:r w:rsidR="009845CE">
        <w:rPr>
          <w:rFonts w:ascii="Calibri" w:eastAsia="Calibri" w:hAnsi="Calibri" w:cs="Calibri"/>
        </w:rPr>
        <w:t xml:space="preserve"> that</w:t>
      </w:r>
      <w:r w:rsidR="000C7543">
        <w:rPr>
          <w:rFonts w:ascii="Calibri" w:eastAsia="Calibri" w:hAnsi="Calibri" w:cs="Calibri"/>
        </w:rPr>
        <w:t xml:space="preserve"> the PRC’s demands are too great</w:t>
      </w:r>
      <w:r w:rsidR="00005D71">
        <w:rPr>
          <w:rFonts w:ascii="Calibri" w:eastAsia="Calibri" w:hAnsi="Calibri" w:cs="Calibri"/>
        </w:rPr>
        <w:t>.</w:t>
      </w:r>
      <w:r w:rsidR="000C7543">
        <w:rPr>
          <w:rFonts w:ascii="Calibri" w:eastAsia="Calibri" w:hAnsi="Calibri" w:cs="Calibri"/>
        </w:rPr>
        <w:t xml:space="preserve"> </w:t>
      </w:r>
      <w:r w:rsidR="006001A3">
        <w:rPr>
          <w:rFonts w:ascii="Calibri" w:eastAsia="Calibri" w:hAnsi="Calibri" w:cs="Calibri"/>
        </w:rPr>
        <w:t>Our member</w:t>
      </w:r>
      <w:r w:rsidR="000C7543">
        <w:rPr>
          <w:rFonts w:ascii="Calibri" w:eastAsia="Calibri" w:hAnsi="Calibri" w:cs="Calibri"/>
        </w:rPr>
        <w:t xml:space="preserve"> survey results </w:t>
      </w:r>
      <w:r w:rsidR="00B04D16">
        <w:rPr>
          <w:rFonts w:ascii="Calibri" w:eastAsia="Calibri" w:hAnsi="Calibri" w:cs="Calibri"/>
        </w:rPr>
        <w:t>show</w:t>
      </w:r>
      <w:r w:rsidR="00E4797D">
        <w:rPr>
          <w:rFonts w:ascii="Calibri" w:eastAsia="Calibri" w:hAnsi="Calibri" w:cs="Calibri"/>
        </w:rPr>
        <w:t xml:space="preserve"> </w:t>
      </w:r>
      <w:r w:rsidR="006001A3">
        <w:rPr>
          <w:rFonts w:ascii="Calibri" w:eastAsia="Calibri" w:hAnsi="Calibri" w:cs="Calibri"/>
        </w:rPr>
        <w:t xml:space="preserve">that </w:t>
      </w:r>
      <w:r w:rsidR="00B04D16">
        <w:rPr>
          <w:rFonts w:ascii="Calibri" w:eastAsia="Calibri" w:hAnsi="Calibri" w:cs="Calibri"/>
        </w:rPr>
        <w:t xml:space="preserve">the </w:t>
      </w:r>
      <w:r w:rsidR="006001A3">
        <w:rPr>
          <w:rFonts w:ascii="Calibri" w:eastAsia="Calibri" w:hAnsi="Calibri" w:cs="Calibri"/>
        </w:rPr>
        <w:t>TDR has a significantly lower reporting burden for most contractors,</w:t>
      </w:r>
      <w:r w:rsidR="009E2AB4">
        <w:rPr>
          <w:rFonts w:ascii="Calibri" w:eastAsia="Calibri" w:hAnsi="Calibri" w:cs="Calibri"/>
        </w:rPr>
        <w:t xml:space="preserve"> which mitigates the </w:t>
      </w:r>
      <w:proofErr w:type="gramStart"/>
      <w:r w:rsidR="009E2AB4">
        <w:rPr>
          <w:rFonts w:ascii="Calibri" w:eastAsia="Calibri" w:hAnsi="Calibri" w:cs="Calibri"/>
        </w:rPr>
        <w:t>aforementioned challenges</w:t>
      </w:r>
      <w:proofErr w:type="gramEnd"/>
      <w:r w:rsidR="009E2AB4">
        <w:rPr>
          <w:rFonts w:ascii="Calibri" w:eastAsia="Calibri" w:hAnsi="Calibri" w:cs="Calibri"/>
        </w:rPr>
        <w:t xml:space="preserve"> while maintaining</w:t>
      </w:r>
      <w:r w:rsidR="00A42CF8">
        <w:rPr>
          <w:rFonts w:ascii="Calibri" w:eastAsia="Calibri" w:hAnsi="Calibri" w:cs="Calibri"/>
        </w:rPr>
        <w:t xml:space="preserve"> the government’s ability </w:t>
      </w:r>
      <w:r w:rsidRPr="3E0F598F">
        <w:rPr>
          <w:rFonts w:ascii="Calibri" w:eastAsia="Calibri" w:hAnsi="Calibri" w:cs="Calibri"/>
        </w:rPr>
        <w:t xml:space="preserve">to punish bad actors who misreport transactional data through </w:t>
      </w:r>
      <w:r w:rsidR="00FE5250">
        <w:rPr>
          <w:rFonts w:ascii="Calibri" w:eastAsia="Calibri" w:hAnsi="Calibri" w:cs="Calibri"/>
        </w:rPr>
        <w:t>existing legal and regulatory mechanisms</w:t>
      </w:r>
      <w:r w:rsidRPr="3E0F598F">
        <w:rPr>
          <w:rFonts w:ascii="Calibri" w:eastAsia="Calibri" w:hAnsi="Calibri" w:cs="Calibri"/>
        </w:rPr>
        <w:t>.</w:t>
      </w:r>
    </w:p>
    <w:p w14:paraId="5FE410EC" w14:textId="4B437041" w:rsidR="00795103" w:rsidRDefault="692FEDCC" w:rsidP="003341D4">
      <w:pPr>
        <w:spacing w:line="257" w:lineRule="auto"/>
      </w:pPr>
      <w:r w:rsidRPr="3E0F598F">
        <w:rPr>
          <w:rFonts w:ascii="Calibri" w:eastAsia="Calibri" w:hAnsi="Calibri" w:cs="Calibri"/>
        </w:rPr>
        <w:t>By allowing contractors to choose whether to take on the compliance burden and legal exposure associated with the PRC and CSP, an optional TDR</w:t>
      </w:r>
      <w:r w:rsidR="00C40C9E">
        <w:rPr>
          <w:rFonts w:ascii="Calibri" w:eastAsia="Calibri" w:hAnsi="Calibri" w:cs="Calibri"/>
        </w:rPr>
        <w:t xml:space="preserve"> model</w:t>
      </w:r>
      <w:r w:rsidRPr="3E0F598F">
        <w:rPr>
          <w:rFonts w:ascii="Calibri" w:eastAsia="Calibri" w:hAnsi="Calibri" w:cs="Calibri"/>
        </w:rPr>
        <w:t xml:space="preserve"> would reduce one of the most serious burdens in the MAS program and create a more competitive and vibrant MAS marketplace. Rather than raising concerns that the MAS program will not comply with CICA, as the GSA OIG has a</w:t>
      </w:r>
      <w:r w:rsidR="00E063C1">
        <w:rPr>
          <w:rFonts w:ascii="Calibri" w:eastAsia="Calibri" w:hAnsi="Calibri" w:cs="Calibri"/>
        </w:rPr>
        <w:t>sserted</w:t>
      </w:r>
      <w:r w:rsidRPr="3E0F598F">
        <w:rPr>
          <w:rFonts w:ascii="Calibri" w:eastAsia="Calibri" w:hAnsi="Calibri" w:cs="Calibri"/>
        </w:rPr>
        <w:t>, TDR fits within the history of the development of the MAS program</w:t>
      </w:r>
      <w:r w:rsidR="005E75A3">
        <w:rPr>
          <w:rFonts w:ascii="Calibri" w:eastAsia="Calibri" w:hAnsi="Calibri" w:cs="Calibri"/>
        </w:rPr>
        <w:t xml:space="preserve"> and </w:t>
      </w:r>
      <w:r w:rsidR="009661DC">
        <w:rPr>
          <w:rFonts w:ascii="Calibri" w:eastAsia="Calibri" w:hAnsi="Calibri" w:cs="Calibri"/>
        </w:rPr>
        <w:t>solves</w:t>
      </w:r>
      <w:r w:rsidR="005E75A3">
        <w:rPr>
          <w:rFonts w:ascii="Calibri" w:eastAsia="Calibri" w:hAnsi="Calibri" w:cs="Calibri"/>
        </w:rPr>
        <w:t xml:space="preserve"> </w:t>
      </w:r>
      <w:r w:rsidR="008D3C1B">
        <w:rPr>
          <w:rFonts w:ascii="Calibri" w:eastAsia="Calibri" w:hAnsi="Calibri" w:cs="Calibri"/>
        </w:rPr>
        <w:t xml:space="preserve">both the PRC’s fundamental and </w:t>
      </w:r>
      <w:r w:rsidR="009661DC">
        <w:rPr>
          <w:rFonts w:ascii="Calibri" w:eastAsia="Calibri" w:hAnsi="Calibri" w:cs="Calibri"/>
        </w:rPr>
        <w:lastRenderedPageBreak/>
        <w:t>accumulating practical</w:t>
      </w:r>
      <w:r w:rsidR="00D54041">
        <w:rPr>
          <w:rFonts w:ascii="Calibri" w:eastAsia="Calibri" w:hAnsi="Calibri" w:cs="Calibri"/>
        </w:rPr>
        <w:t xml:space="preserve"> </w:t>
      </w:r>
      <w:r w:rsidR="009661DC">
        <w:rPr>
          <w:rFonts w:ascii="Calibri" w:eastAsia="Calibri" w:hAnsi="Calibri" w:cs="Calibri"/>
        </w:rPr>
        <w:t>problems</w:t>
      </w:r>
      <w:r w:rsidRPr="3E0F598F">
        <w:rPr>
          <w:rFonts w:ascii="Calibri" w:eastAsia="Calibri" w:hAnsi="Calibri" w:cs="Calibri"/>
        </w:rPr>
        <w:t xml:space="preserve">. </w:t>
      </w:r>
      <w:r w:rsidR="00C40C9E">
        <w:rPr>
          <w:rFonts w:ascii="Calibri" w:eastAsia="Calibri" w:hAnsi="Calibri" w:cs="Calibri"/>
        </w:rPr>
        <w:t>I</w:t>
      </w:r>
      <w:r w:rsidRPr="3E0F598F">
        <w:rPr>
          <w:rFonts w:ascii="Calibri" w:eastAsia="Calibri" w:hAnsi="Calibri" w:cs="Calibri"/>
        </w:rPr>
        <w:t xml:space="preserve">ts adoption will lower prices for customers, allow MAS to meet the </w:t>
      </w:r>
      <w:r w:rsidR="00FA492C">
        <w:rPr>
          <w:rFonts w:ascii="Calibri" w:eastAsia="Calibri" w:hAnsi="Calibri" w:cs="Calibri"/>
        </w:rPr>
        <w:t>demands</w:t>
      </w:r>
      <w:r w:rsidR="00046697">
        <w:rPr>
          <w:rFonts w:ascii="Calibri" w:eastAsia="Calibri" w:hAnsi="Calibri" w:cs="Calibri"/>
        </w:rPr>
        <w:t xml:space="preserve"> of</w:t>
      </w:r>
      <w:r w:rsidRPr="3E0F598F">
        <w:rPr>
          <w:rFonts w:ascii="Calibri" w:eastAsia="Calibri" w:hAnsi="Calibri" w:cs="Calibri"/>
        </w:rPr>
        <w:t xml:space="preserve"> CICA mandate better, </w:t>
      </w:r>
      <w:r w:rsidR="00542CBD">
        <w:rPr>
          <w:rFonts w:ascii="Calibri" w:eastAsia="Calibri" w:hAnsi="Calibri" w:cs="Calibri"/>
        </w:rPr>
        <w:t>and improve</w:t>
      </w:r>
      <w:r w:rsidRPr="3E0F598F">
        <w:rPr>
          <w:rFonts w:ascii="Calibri" w:eastAsia="Calibri" w:hAnsi="Calibri" w:cs="Calibri"/>
        </w:rPr>
        <w:t xml:space="preserve"> conditions for contractors.</w:t>
      </w:r>
    </w:p>
    <w:p w14:paraId="7A5727DB" w14:textId="51D38AC2" w:rsidR="00795103" w:rsidRDefault="692FEDCC" w:rsidP="3E0F598F">
      <w:pPr>
        <w:spacing w:line="257" w:lineRule="auto"/>
      </w:pPr>
      <w:r w:rsidRPr="3E0F598F">
        <w:rPr>
          <w:rFonts w:ascii="Calibri" w:eastAsia="Calibri" w:hAnsi="Calibri" w:cs="Calibri"/>
          <w:b/>
          <w:bCs/>
        </w:rPr>
        <w:t>GSA's Estimate of the Public Burden of this Information Collection, Assumptions and Methodology</w:t>
      </w:r>
    </w:p>
    <w:p w14:paraId="7BCD45C9" w14:textId="6B0B4A1F" w:rsidR="00795103" w:rsidRDefault="692FEDCC" w:rsidP="3E0F598F">
      <w:pPr>
        <w:spacing w:line="257" w:lineRule="auto"/>
      </w:pPr>
      <w:r w:rsidRPr="3E0F598F">
        <w:rPr>
          <w:rFonts w:ascii="Calibri" w:eastAsia="Calibri" w:hAnsi="Calibri" w:cs="Calibri"/>
        </w:rPr>
        <w:t xml:space="preserve">To answer GSA’s question about the accuracy of the TDR estimates in the information collection notice, the Coalition surveyed its members on the regulatory burden of the program. Overall, 75% of survey respondents reported that the regulatory burden has decreased because of transitioning to TDR. When comparing TDR to </w:t>
      </w:r>
      <w:r w:rsidR="00542CBD">
        <w:rPr>
          <w:rFonts w:ascii="Calibri" w:eastAsia="Calibri" w:hAnsi="Calibri" w:cs="Calibri"/>
        </w:rPr>
        <w:t xml:space="preserve">the </w:t>
      </w:r>
      <w:r w:rsidRPr="3E0F598F">
        <w:rPr>
          <w:rFonts w:ascii="Calibri" w:eastAsia="Calibri" w:hAnsi="Calibri" w:cs="Calibri"/>
        </w:rPr>
        <w:t>PRC, the data shows dramatic support for TDR</w:t>
      </w:r>
      <w:r w:rsidR="00A71952">
        <w:rPr>
          <w:rFonts w:ascii="Calibri" w:eastAsia="Calibri" w:hAnsi="Calibri" w:cs="Calibri"/>
        </w:rPr>
        <w:t>,</w:t>
      </w:r>
      <w:r w:rsidRPr="3E0F598F">
        <w:rPr>
          <w:rFonts w:ascii="Calibri" w:eastAsia="Calibri" w:hAnsi="Calibri" w:cs="Calibri"/>
        </w:rPr>
        <w:t xml:space="preserve"> with only 2% of survey respondents supporting the PRC over TDR</w:t>
      </w:r>
      <w:r w:rsidR="00A71952">
        <w:rPr>
          <w:rFonts w:ascii="Calibri" w:eastAsia="Calibri" w:hAnsi="Calibri" w:cs="Calibri"/>
        </w:rPr>
        <w:t xml:space="preserve">, </w:t>
      </w:r>
      <w:r w:rsidRPr="3E0F598F">
        <w:rPr>
          <w:rFonts w:ascii="Calibri" w:eastAsia="Calibri" w:hAnsi="Calibri" w:cs="Calibri"/>
        </w:rPr>
        <w:t>10% neutral</w:t>
      </w:r>
      <w:r w:rsidR="00A71952">
        <w:rPr>
          <w:rFonts w:ascii="Calibri" w:eastAsia="Calibri" w:hAnsi="Calibri" w:cs="Calibri"/>
        </w:rPr>
        <w:t>,</w:t>
      </w:r>
      <w:r w:rsidRPr="3E0F598F">
        <w:rPr>
          <w:rFonts w:ascii="Calibri" w:eastAsia="Calibri" w:hAnsi="Calibri" w:cs="Calibri"/>
        </w:rPr>
        <w:t xml:space="preserve"> and 88% preferring TDR. Finally, 88% of respondents assert that TDR has reduced the risk associated with their MAS contract. </w:t>
      </w:r>
    </w:p>
    <w:p w14:paraId="4C2C1753" w14:textId="72BC6D2F" w:rsidR="00795103" w:rsidRDefault="692FEDCC" w:rsidP="3E0F598F">
      <w:pPr>
        <w:spacing w:line="257" w:lineRule="auto"/>
      </w:pPr>
      <w:r w:rsidRPr="3E0F598F">
        <w:rPr>
          <w:rFonts w:ascii="Calibri" w:eastAsia="Calibri" w:hAnsi="Calibri" w:cs="Calibri"/>
        </w:rPr>
        <w:t xml:space="preserve">The Coalition </w:t>
      </w:r>
      <w:r w:rsidR="00C57662">
        <w:rPr>
          <w:rFonts w:ascii="Calibri" w:eastAsia="Calibri" w:hAnsi="Calibri" w:cs="Calibri"/>
        </w:rPr>
        <w:t>agrees with</w:t>
      </w:r>
      <w:r w:rsidR="00696C3B">
        <w:rPr>
          <w:rFonts w:ascii="Calibri" w:eastAsia="Calibri" w:hAnsi="Calibri" w:cs="Calibri"/>
        </w:rPr>
        <w:t xml:space="preserve"> </w:t>
      </w:r>
      <w:r w:rsidRPr="3E0F598F">
        <w:rPr>
          <w:rFonts w:ascii="Calibri" w:eastAsia="Calibri" w:hAnsi="Calibri" w:cs="Calibri"/>
        </w:rPr>
        <w:t>much of GSA’s estimate on the public burden of this collection</w:t>
      </w:r>
      <w:r w:rsidR="00BA4451">
        <w:rPr>
          <w:rFonts w:ascii="Calibri" w:eastAsia="Calibri" w:hAnsi="Calibri" w:cs="Calibri"/>
        </w:rPr>
        <w:t>,</w:t>
      </w:r>
      <w:r w:rsidRPr="3E0F598F">
        <w:rPr>
          <w:rFonts w:ascii="Calibri" w:eastAsia="Calibri" w:hAnsi="Calibri" w:cs="Calibri"/>
        </w:rPr>
        <w:t xml:space="preserve"> including the varying rates of labor and the time burden of manual collection. Regarding the estimated monthly hours spent on TDR with an automatic system in the information collection notice, GSA estimates a reporting burden of 2 hours a month</w:t>
      </w:r>
      <w:r w:rsidR="00696C3B">
        <w:rPr>
          <w:rFonts w:ascii="Calibri" w:eastAsia="Calibri" w:hAnsi="Calibri" w:cs="Calibri"/>
        </w:rPr>
        <w:t xml:space="preserve">, </w:t>
      </w:r>
      <w:r w:rsidRPr="3E0F598F">
        <w:rPr>
          <w:rFonts w:ascii="Calibri" w:eastAsia="Calibri" w:hAnsi="Calibri" w:cs="Calibri"/>
        </w:rPr>
        <w:t xml:space="preserve">regardless of the size of the company. </w:t>
      </w:r>
      <w:r w:rsidR="00696C3B">
        <w:rPr>
          <w:rFonts w:ascii="Calibri" w:eastAsia="Calibri" w:hAnsi="Calibri" w:cs="Calibri"/>
        </w:rPr>
        <w:t>M</w:t>
      </w:r>
      <w:r w:rsidRPr="3E0F598F">
        <w:rPr>
          <w:rFonts w:ascii="Calibri" w:eastAsia="Calibri" w:hAnsi="Calibri" w:cs="Calibri"/>
        </w:rPr>
        <w:t>ember estimates</w:t>
      </w:r>
      <w:r w:rsidR="00696C3B">
        <w:rPr>
          <w:rFonts w:ascii="Calibri" w:eastAsia="Calibri" w:hAnsi="Calibri" w:cs="Calibri"/>
        </w:rPr>
        <w:t>, however,</w:t>
      </w:r>
      <w:r w:rsidRPr="3E0F598F">
        <w:rPr>
          <w:rFonts w:ascii="Calibri" w:eastAsia="Calibri" w:hAnsi="Calibri" w:cs="Calibri"/>
        </w:rPr>
        <w:t xml:space="preserve"> are higher at </w:t>
      </w:r>
      <w:r w:rsidR="66B4747D" w:rsidRPr="3E0F598F">
        <w:rPr>
          <w:rFonts w:ascii="Calibri" w:eastAsia="Calibri" w:hAnsi="Calibri" w:cs="Calibri"/>
        </w:rPr>
        <w:t>nearly</w:t>
      </w:r>
      <w:r w:rsidRPr="3E0F598F">
        <w:rPr>
          <w:rFonts w:ascii="Calibri" w:eastAsia="Calibri" w:hAnsi="Calibri" w:cs="Calibri"/>
        </w:rPr>
        <w:t xml:space="preserve"> 10 hours a month. Members noted that the burden of the automated system is not limited to pulling the information from the system, but also includes the several layers of review necessary to ensure that accurate information is provided to GSA. This review often includes cross connecting the data with invoicing, billing, shipping, orders, and quotes to ensure that the TDR information reported is accurate and reliable. </w:t>
      </w:r>
    </w:p>
    <w:p w14:paraId="1B2A469B" w14:textId="2ECB3340" w:rsidR="00795103" w:rsidRPr="002D6AB5" w:rsidRDefault="692FEDCC" w:rsidP="3E0F598F">
      <w:pPr>
        <w:spacing w:line="257" w:lineRule="auto"/>
      </w:pPr>
      <w:r w:rsidRPr="3E0F598F">
        <w:rPr>
          <w:rFonts w:ascii="Calibri" w:eastAsia="Calibri" w:hAnsi="Calibri" w:cs="Calibri"/>
        </w:rPr>
        <w:t>In addition to the extra hours spent on verifying that the information from automated systems is accurate, there are manpower requirements made necessary by challenges within the TDR reporting template. For example, for items under the Federal Strategic Sourcing Initiative for Office Supplies Fourth Generation (FSSI OS4) Federal Set, additional columns are needed, the completion of which, requires manual entry. In addition, fields, such as state and local government, require that contractors manually enter N/A for every item that is not applicable. Finally, dashes and other special characters can confuse the system</w:t>
      </w:r>
      <w:r w:rsidR="00CE1447">
        <w:rPr>
          <w:rFonts w:ascii="Calibri" w:eastAsia="Calibri" w:hAnsi="Calibri" w:cs="Calibri"/>
        </w:rPr>
        <w:t>,</w:t>
      </w:r>
      <w:r w:rsidRPr="3E0F598F">
        <w:rPr>
          <w:rFonts w:ascii="Calibri" w:eastAsia="Calibri" w:hAnsi="Calibri" w:cs="Calibri"/>
        </w:rPr>
        <w:t xml:space="preserve"> which requires additional manual entry which cumulatively adds to the reporting burden. Other than the assumptions regarding the automated system, the Coalition has no further comments regarding the public burden of collecting this data. </w:t>
      </w:r>
    </w:p>
    <w:p w14:paraId="406C4FE3" w14:textId="0CD44A2D" w:rsidR="00795103" w:rsidRDefault="692FEDCC" w:rsidP="00C40C9E">
      <w:pPr>
        <w:spacing w:line="257" w:lineRule="auto"/>
        <w:rPr>
          <w:rFonts w:ascii="Calibri" w:eastAsia="Calibri" w:hAnsi="Calibri" w:cs="Calibri"/>
          <w:b/>
          <w:bCs/>
          <w:i/>
          <w:iCs/>
        </w:rPr>
      </w:pPr>
      <w:r w:rsidRPr="3E0F598F">
        <w:rPr>
          <w:rFonts w:ascii="Calibri" w:eastAsia="Calibri" w:hAnsi="Calibri" w:cs="Calibri"/>
          <w:b/>
          <w:bCs/>
          <w:i/>
          <w:iCs/>
        </w:rPr>
        <w:t>Ways to enhance the quality, utility, and clarity of the information to be collected.</w:t>
      </w:r>
    </w:p>
    <w:p w14:paraId="76275601" w14:textId="3D51CAF8" w:rsidR="00795103" w:rsidRDefault="692FEDCC" w:rsidP="00C40C9E">
      <w:pPr>
        <w:spacing w:line="257" w:lineRule="auto"/>
        <w:rPr>
          <w:rFonts w:ascii="Calibri" w:eastAsia="Calibri" w:hAnsi="Calibri" w:cs="Calibri"/>
        </w:rPr>
      </w:pPr>
      <w:r w:rsidRPr="3E0F598F">
        <w:rPr>
          <w:rFonts w:ascii="Calibri" w:eastAsia="Calibri" w:hAnsi="Calibri" w:cs="Calibri"/>
        </w:rPr>
        <w:t xml:space="preserve">The Coalition supports the continued rollout of the TDR pilot as an option to all Schedule holders. There are, however, several enhancements that the Coalition would suggest </w:t>
      </w:r>
      <w:proofErr w:type="gramStart"/>
      <w:r w:rsidRPr="3E0F598F">
        <w:rPr>
          <w:rFonts w:ascii="Calibri" w:eastAsia="Calibri" w:hAnsi="Calibri" w:cs="Calibri"/>
        </w:rPr>
        <w:t>to improve</w:t>
      </w:r>
      <w:proofErr w:type="gramEnd"/>
      <w:r w:rsidRPr="3E0F598F">
        <w:rPr>
          <w:rFonts w:ascii="Calibri" w:eastAsia="Calibri" w:hAnsi="Calibri" w:cs="Calibri"/>
        </w:rPr>
        <w:t xml:space="preserve"> the quality of the information provided through the program.</w:t>
      </w:r>
    </w:p>
    <w:p w14:paraId="6BE92CA7" w14:textId="22EF0E86" w:rsidR="00795103" w:rsidRDefault="692FEDCC" w:rsidP="3E0F598F">
      <w:pPr>
        <w:spacing w:line="257" w:lineRule="auto"/>
      </w:pPr>
      <w:r w:rsidRPr="3E0F598F">
        <w:rPr>
          <w:rFonts w:ascii="Calibri" w:eastAsia="Calibri" w:hAnsi="Calibri" w:cs="Calibri"/>
          <w:b/>
          <w:bCs/>
        </w:rPr>
        <w:t xml:space="preserve">Support for the Expansion of TDR as an Option Across the MAS Program </w:t>
      </w:r>
    </w:p>
    <w:p w14:paraId="78E9399F" w14:textId="64899D4D" w:rsidR="00795103" w:rsidRDefault="692FEDCC" w:rsidP="3E0F598F">
      <w:pPr>
        <w:spacing w:line="257" w:lineRule="auto"/>
        <w:rPr>
          <w:rFonts w:ascii="Calibri" w:eastAsia="Calibri" w:hAnsi="Calibri" w:cs="Calibri"/>
          <w:i/>
        </w:rPr>
      </w:pPr>
      <w:r w:rsidRPr="3E0F598F">
        <w:rPr>
          <w:rFonts w:ascii="Calibri" w:eastAsia="Calibri" w:hAnsi="Calibri" w:cs="Calibri"/>
          <w:i/>
          <w:iCs/>
        </w:rPr>
        <w:t>TDR as an Option</w:t>
      </w:r>
      <w:r w:rsidR="29F872AD" w:rsidRPr="5F010A8B">
        <w:rPr>
          <w:rFonts w:ascii="Calibri" w:eastAsia="Calibri" w:hAnsi="Calibri" w:cs="Calibri"/>
          <w:i/>
          <w:iCs/>
        </w:rPr>
        <w:t xml:space="preserve"> </w:t>
      </w:r>
    </w:p>
    <w:p w14:paraId="05F69A37" w14:textId="56629F74" w:rsidR="00795103" w:rsidRDefault="692FEDCC" w:rsidP="3E0F598F">
      <w:pPr>
        <w:spacing w:line="257" w:lineRule="auto"/>
      </w:pPr>
      <w:r w:rsidRPr="3E0F598F">
        <w:rPr>
          <w:rFonts w:ascii="Calibri" w:eastAsia="Calibri" w:hAnsi="Calibri" w:cs="Calibri"/>
        </w:rPr>
        <w:t>Because TDR represents a natural progression in the modernization and streamlining of the MAS program, reduces regulatory burdens, and provides valuable pricing data upon which (in addition to other sources) GSA can make fair and reasonable pricing determinations, the Coalition supports the continued expansion of TDR as an option to all MAS contract holders. It is important to note, however, that TDR is not an optimal solution for all industries, products</w:t>
      </w:r>
      <w:r w:rsidR="00CE1447">
        <w:rPr>
          <w:rFonts w:ascii="Calibri" w:eastAsia="Calibri" w:hAnsi="Calibri" w:cs="Calibri"/>
        </w:rPr>
        <w:t>,</w:t>
      </w:r>
      <w:r w:rsidRPr="3E0F598F">
        <w:rPr>
          <w:rFonts w:ascii="Calibri" w:eastAsia="Calibri" w:hAnsi="Calibri" w:cs="Calibri"/>
        </w:rPr>
        <w:t xml:space="preserve"> and solutions. For example, TDR is not tenable for furniture contractors due to the highly customizable products (</w:t>
      </w:r>
      <w:r w:rsidRPr="00255445">
        <w:rPr>
          <w:rFonts w:ascii="Calibri" w:eastAsia="Calibri" w:hAnsi="Calibri" w:cs="Calibri"/>
          <w:i/>
          <w:iCs/>
        </w:rPr>
        <w:t>e.g.</w:t>
      </w:r>
      <w:r w:rsidRPr="3E0F598F">
        <w:rPr>
          <w:rFonts w:ascii="Calibri" w:eastAsia="Calibri" w:hAnsi="Calibri" w:cs="Calibri"/>
        </w:rPr>
        <w:t xml:space="preserve">, material, wood stain, fabric options, </w:t>
      </w:r>
      <w:r w:rsidRPr="00255445">
        <w:rPr>
          <w:rFonts w:ascii="Calibri" w:eastAsia="Calibri" w:hAnsi="Calibri" w:cs="Calibri"/>
          <w:i/>
          <w:iCs/>
        </w:rPr>
        <w:t>etc</w:t>
      </w:r>
      <w:r w:rsidRPr="3E0F598F">
        <w:rPr>
          <w:rFonts w:ascii="Calibri" w:eastAsia="Calibri" w:hAnsi="Calibri" w:cs="Calibri"/>
        </w:rPr>
        <w:t xml:space="preserve">.) that they offer under the Schedules program. Requiring TDR reporting for these </w:t>
      </w:r>
      <w:r w:rsidRPr="3E0F598F">
        <w:rPr>
          <w:rFonts w:ascii="Calibri" w:eastAsia="Calibri" w:hAnsi="Calibri" w:cs="Calibri"/>
        </w:rPr>
        <w:lastRenderedPageBreak/>
        <w:t>contractors would result in thousands of lines of transactional data being reported to GSA on a monthly basis</w:t>
      </w:r>
      <w:r w:rsidR="00CE1447">
        <w:rPr>
          <w:rFonts w:ascii="Calibri" w:eastAsia="Calibri" w:hAnsi="Calibri" w:cs="Calibri"/>
        </w:rPr>
        <w:t>,</w:t>
      </w:r>
      <w:r w:rsidRPr="3E0F598F">
        <w:rPr>
          <w:rFonts w:ascii="Calibri" w:eastAsia="Calibri" w:hAnsi="Calibri" w:cs="Calibri"/>
        </w:rPr>
        <w:t xml:space="preserve"> which would be highly burdensome for the contractor and</w:t>
      </w:r>
      <w:r w:rsidR="00366396">
        <w:rPr>
          <w:rFonts w:ascii="Calibri" w:eastAsia="Calibri" w:hAnsi="Calibri" w:cs="Calibri"/>
        </w:rPr>
        <w:t>,</w:t>
      </w:r>
      <w:r w:rsidRPr="3E0F598F">
        <w:rPr>
          <w:rFonts w:ascii="Calibri" w:eastAsia="Calibri" w:hAnsi="Calibri" w:cs="Calibri"/>
        </w:rPr>
        <w:t xml:space="preserve"> more importantly, unusable by the government for price negotiations due to its sheer volume. Therefore, we believe that compliance with the PRC should remain an option for those contractors for which TDR is impractical due to unique circumstances.</w:t>
      </w:r>
    </w:p>
    <w:p w14:paraId="0DCF4935" w14:textId="78C7BCA3" w:rsidR="00795103" w:rsidRDefault="71ADF15C" w:rsidP="3E0F598F">
      <w:pPr>
        <w:spacing w:line="257" w:lineRule="auto"/>
        <w:rPr>
          <w:rFonts w:ascii="Calibri" w:eastAsia="Calibri" w:hAnsi="Calibri" w:cs="Calibri"/>
        </w:rPr>
      </w:pPr>
      <w:r w:rsidRPr="3E0F598F">
        <w:rPr>
          <w:rFonts w:ascii="Calibri" w:eastAsia="Calibri" w:hAnsi="Calibri" w:cs="Calibri"/>
        </w:rPr>
        <w:t>Criticisms of the expansion of TDR have i</w:t>
      </w:r>
      <w:r w:rsidR="008C4E81">
        <w:rPr>
          <w:rFonts w:ascii="Calibri" w:eastAsia="Calibri" w:hAnsi="Calibri" w:cs="Calibri"/>
        </w:rPr>
        <w:t>n</w:t>
      </w:r>
      <w:r w:rsidRPr="3E0F598F">
        <w:rPr>
          <w:rFonts w:ascii="Calibri" w:eastAsia="Calibri" w:hAnsi="Calibri" w:cs="Calibri"/>
        </w:rPr>
        <w:t>cluded concern</w:t>
      </w:r>
      <w:r w:rsidR="12589F43" w:rsidRPr="3E0F598F">
        <w:rPr>
          <w:rFonts w:ascii="Calibri" w:eastAsia="Calibri" w:hAnsi="Calibri" w:cs="Calibri"/>
        </w:rPr>
        <w:t>s</w:t>
      </w:r>
      <w:r w:rsidRPr="3E0F598F">
        <w:rPr>
          <w:rFonts w:ascii="Calibri" w:eastAsia="Calibri" w:hAnsi="Calibri" w:cs="Calibri"/>
        </w:rPr>
        <w:t xml:space="preserve"> over the completeness of data</w:t>
      </w:r>
      <w:r w:rsidR="00366396">
        <w:rPr>
          <w:rFonts w:ascii="Calibri" w:eastAsia="Calibri" w:hAnsi="Calibri" w:cs="Calibri"/>
        </w:rPr>
        <w:t>,</w:t>
      </w:r>
      <w:r w:rsidRPr="3E0F598F">
        <w:rPr>
          <w:rFonts w:ascii="Calibri" w:eastAsia="Calibri" w:hAnsi="Calibri" w:cs="Calibri"/>
        </w:rPr>
        <w:t xml:space="preserve"> with OIG expressing concerns over a lack of comparability in fields leading to an inaccurate dataset. In GSA’s response to the OIG’s June 30, </w:t>
      </w:r>
      <w:proofErr w:type="gramStart"/>
      <w:r w:rsidRPr="3E0F598F">
        <w:rPr>
          <w:rFonts w:ascii="Calibri" w:eastAsia="Calibri" w:hAnsi="Calibri" w:cs="Calibri"/>
        </w:rPr>
        <w:t>2021</w:t>
      </w:r>
      <w:proofErr w:type="gramEnd"/>
      <w:r w:rsidRPr="3E0F598F">
        <w:rPr>
          <w:rFonts w:ascii="Calibri" w:eastAsia="Calibri" w:hAnsi="Calibri" w:cs="Calibri"/>
        </w:rPr>
        <w:t xml:space="preserve"> report</w:t>
      </w:r>
      <w:r w:rsidR="00435008">
        <w:rPr>
          <w:rFonts w:ascii="Calibri" w:eastAsia="Calibri" w:hAnsi="Calibri" w:cs="Calibri"/>
        </w:rPr>
        <w:t>,</w:t>
      </w:r>
      <w:r w:rsidR="71CDB22C" w:rsidRPr="3E0F598F">
        <w:rPr>
          <w:rFonts w:ascii="Calibri" w:eastAsia="Calibri" w:hAnsi="Calibri" w:cs="Calibri"/>
        </w:rPr>
        <w:t xml:space="preserve"> it was</w:t>
      </w:r>
      <w:r w:rsidRPr="3E0F598F">
        <w:rPr>
          <w:rFonts w:ascii="Calibri" w:eastAsia="Calibri" w:hAnsi="Calibri" w:cs="Calibri"/>
        </w:rPr>
        <w:t xml:space="preserve"> noted that, from FY 2018 to FY 2020, data completeness improved from 73.6% to 98.7%. GSA noted that this </w:t>
      </w:r>
      <w:r w:rsidR="00435008">
        <w:rPr>
          <w:rFonts w:ascii="Calibri" w:eastAsia="Calibri" w:hAnsi="Calibri" w:cs="Calibri"/>
        </w:rPr>
        <w:t xml:space="preserve">improvement </w:t>
      </w:r>
      <w:r w:rsidRPr="3E0F598F">
        <w:rPr>
          <w:rFonts w:ascii="Calibri" w:eastAsia="Calibri" w:hAnsi="Calibri" w:cs="Calibri"/>
        </w:rPr>
        <w:t>reflects the growing maturity of the data</w:t>
      </w:r>
      <w:r w:rsidR="00435008">
        <w:rPr>
          <w:rFonts w:ascii="Calibri" w:eastAsia="Calibri" w:hAnsi="Calibri" w:cs="Calibri"/>
        </w:rPr>
        <w:t>,</w:t>
      </w:r>
      <w:r w:rsidRPr="3E0F598F">
        <w:rPr>
          <w:rFonts w:ascii="Calibri" w:eastAsia="Calibri" w:hAnsi="Calibri" w:cs="Calibri"/>
        </w:rPr>
        <w:t xml:space="preserve"> as well as input validations added to ensure data completeness. </w:t>
      </w:r>
      <w:r w:rsidR="006B4BEA">
        <w:rPr>
          <w:rFonts w:ascii="Calibri" w:eastAsia="Calibri" w:hAnsi="Calibri" w:cs="Calibri"/>
        </w:rPr>
        <w:t xml:space="preserve">Although </w:t>
      </w:r>
      <w:r w:rsidRPr="3E0F598F">
        <w:rPr>
          <w:rFonts w:ascii="Calibri" w:eastAsia="Calibri" w:hAnsi="Calibri" w:cs="Calibri"/>
        </w:rPr>
        <w:t>the expansion of TDR likely</w:t>
      </w:r>
      <w:r w:rsidR="006B4BEA">
        <w:rPr>
          <w:rFonts w:ascii="Calibri" w:eastAsia="Calibri" w:hAnsi="Calibri" w:cs="Calibri"/>
        </w:rPr>
        <w:t xml:space="preserve"> will</w:t>
      </w:r>
      <w:r w:rsidRPr="3E0F598F">
        <w:rPr>
          <w:rFonts w:ascii="Calibri" w:eastAsia="Calibri" w:hAnsi="Calibri" w:cs="Calibri"/>
        </w:rPr>
        <w:t xml:space="preserve"> come with further opportunities for improvement, the system has shown to increase its ability to provide reliable data over time.</w:t>
      </w:r>
    </w:p>
    <w:p w14:paraId="241C7B3E" w14:textId="0BC833A5" w:rsidR="00795103" w:rsidRDefault="692FEDCC" w:rsidP="3E0F598F">
      <w:pPr>
        <w:spacing w:line="257" w:lineRule="auto"/>
      </w:pPr>
      <w:r w:rsidRPr="3E0F598F">
        <w:rPr>
          <w:rFonts w:ascii="Calibri" w:eastAsia="Calibri" w:hAnsi="Calibri" w:cs="Calibri"/>
          <w:i/>
          <w:iCs/>
        </w:rPr>
        <w:t>TDR Provides Actual Prices Paid at the Order Level by Federal Customers vs the PRC</w:t>
      </w:r>
    </w:p>
    <w:p w14:paraId="41819D69" w14:textId="2579F8A4" w:rsidR="00795103" w:rsidRDefault="692FEDCC" w:rsidP="3E0F598F">
      <w:pPr>
        <w:spacing w:line="257" w:lineRule="auto"/>
      </w:pPr>
      <w:r w:rsidRPr="3E0F598F">
        <w:rPr>
          <w:rFonts w:ascii="Calibri" w:eastAsia="Calibri" w:hAnsi="Calibri" w:cs="Calibri"/>
        </w:rPr>
        <w:t>GSA should rely</w:t>
      </w:r>
      <w:r w:rsidR="00703E2C">
        <w:rPr>
          <w:rFonts w:ascii="Calibri" w:eastAsia="Calibri" w:hAnsi="Calibri" w:cs="Calibri"/>
        </w:rPr>
        <w:t xml:space="preserve">, </w:t>
      </w:r>
      <w:r w:rsidRPr="3E0F598F">
        <w:rPr>
          <w:rFonts w:ascii="Calibri" w:eastAsia="Calibri" w:hAnsi="Calibri" w:cs="Calibri"/>
        </w:rPr>
        <w:t>as experience indicates it can</w:t>
      </w:r>
      <w:r w:rsidR="00703E2C">
        <w:rPr>
          <w:rFonts w:ascii="Calibri" w:eastAsia="Calibri" w:hAnsi="Calibri" w:cs="Calibri"/>
        </w:rPr>
        <w:t xml:space="preserve">, </w:t>
      </w:r>
      <w:r w:rsidRPr="3E0F598F">
        <w:rPr>
          <w:rFonts w:ascii="Calibri" w:eastAsia="Calibri" w:hAnsi="Calibri" w:cs="Calibri"/>
        </w:rPr>
        <w:t xml:space="preserve">as much as possible on task order level competition to drive prices downward in this area. GSA’s response to the OIG’s June 30, </w:t>
      </w:r>
      <w:proofErr w:type="gramStart"/>
      <w:r w:rsidRPr="3E0F598F">
        <w:rPr>
          <w:rFonts w:ascii="Calibri" w:eastAsia="Calibri" w:hAnsi="Calibri" w:cs="Calibri"/>
        </w:rPr>
        <w:t>2021</w:t>
      </w:r>
      <w:proofErr w:type="gramEnd"/>
      <w:r w:rsidRPr="3E0F598F">
        <w:rPr>
          <w:rFonts w:ascii="Calibri" w:eastAsia="Calibri" w:hAnsi="Calibri" w:cs="Calibri"/>
        </w:rPr>
        <w:t xml:space="preserve"> report on the Transactional Data Reporting Pilot noted improvements in pricing under TDR when compared to the pricing obtained under Most Favored Customer pricing. This improvement comes from establishing prices at the order level in a competitive environment in response to known requirements compared to the prices available at the MAS contract level for an order of one. Evidence of this improvement can be seen in a comparison done by FAS that was noted in GSA’s response to the 2022 OIG Audit Report on TDR. In an analysis of over 500,000 items reported by TDR vendors, MAS order level pricing was 6.5% lower than the median price on </w:t>
      </w:r>
      <w:proofErr w:type="spellStart"/>
      <w:r w:rsidRPr="3E0F598F">
        <w:rPr>
          <w:rFonts w:ascii="Calibri" w:eastAsia="Calibri" w:hAnsi="Calibri" w:cs="Calibri"/>
        </w:rPr>
        <w:t>FedMall</w:t>
      </w:r>
      <w:proofErr w:type="spellEnd"/>
      <w:r w:rsidRPr="3E0F598F">
        <w:rPr>
          <w:rFonts w:ascii="Calibri" w:eastAsia="Calibri" w:hAnsi="Calibri" w:cs="Calibri"/>
        </w:rPr>
        <w:t xml:space="preserve">, 13.9% </w:t>
      </w:r>
      <w:r w:rsidR="00602A96">
        <w:rPr>
          <w:rFonts w:ascii="Calibri" w:eastAsia="Calibri" w:hAnsi="Calibri" w:cs="Calibri"/>
        </w:rPr>
        <w:t xml:space="preserve">lower </w:t>
      </w:r>
      <w:r w:rsidRPr="3E0F598F">
        <w:rPr>
          <w:rFonts w:ascii="Calibri" w:eastAsia="Calibri" w:hAnsi="Calibri" w:cs="Calibri"/>
        </w:rPr>
        <w:t xml:space="preserve">than the median on NASA SEWP, and 27.0% lower than the median price in the commercial marketplace.  In addition to these benefits for customer agencies, GSA noted a decrease in contractor burden, which reduces industry cost, allowing those cost reductions, in a competitive environment, to be passed on to customer agencies in the form of reduced prices. </w:t>
      </w:r>
    </w:p>
    <w:p w14:paraId="45AD56C0" w14:textId="070BE115" w:rsidR="00795103" w:rsidRDefault="692FEDCC" w:rsidP="3E0F598F">
      <w:pPr>
        <w:spacing w:line="257" w:lineRule="auto"/>
      </w:pPr>
      <w:r w:rsidRPr="3E0F598F">
        <w:rPr>
          <w:rFonts w:ascii="Calibri" w:eastAsia="Calibri" w:hAnsi="Calibri" w:cs="Calibri"/>
          <w:b/>
          <w:bCs/>
        </w:rPr>
        <w:t>Further Training and Policy on the Use of TDR Data is Critical</w:t>
      </w:r>
    </w:p>
    <w:p w14:paraId="00743A10" w14:textId="4479E7FB" w:rsidR="00795103" w:rsidRDefault="692FEDCC" w:rsidP="002D6AB5">
      <w:pPr>
        <w:spacing w:line="257" w:lineRule="auto"/>
      </w:pPr>
      <w:r w:rsidRPr="3E0F598F">
        <w:rPr>
          <w:rFonts w:ascii="Calibri" w:eastAsia="Calibri" w:hAnsi="Calibri" w:cs="Calibri"/>
        </w:rPr>
        <w:t xml:space="preserve">As GSA continues to collect transactional data from contractors, it is critical that GSA develop additional training and policy on the appropriate use of the data in price negotiations. For example, as the government fulfills its fiduciary duty to determine a fair and reasonable price, additional factors must be considered other than directly comparing prices. Comparisons in volume, demand, service, quality of product, and delivery time are key factors to note when viewing different prices under TDR. </w:t>
      </w:r>
      <w:r w:rsidR="0515D2CF" w:rsidRPr="31165B29">
        <w:rPr>
          <w:rFonts w:ascii="Calibri" w:eastAsia="Calibri" w:hAnsi="Calibri" w:cs="Calibri"/>
        </w:rPr>
        <w:t>Guidance</w:t>
      </w:r>
      <w:r w:rsidR="15F0F739" w:rsidRPr="1C288A92">
        <w:rPr>
          <w:rFonts w:ascii="Calibri" w:eastAsia="Calibri" w:hAnsi="Calibri" w:cs="Calibri"/>
        </w:rPr>
        <w:t xml:space="preserve"> </w:t>
      </w:r>
      <w:r w:rsidR="15F0F739" w:rsidRPr="21DE82D6">
        <w:rPr>
          <w:rFonts w:ascii="Calibri" w:eastAsia="Calibri" w:hAnsi="Calibri" w:cs="Calibri"/>
        </w:rPr>
        <w:t>and training</w:t>
      </w:r>
      <w:r w:rsidR="0515D2CF" w:rsidRPr="31165B29">
        <w:rPr>
          <w:rFonts w:ascii="Calibri" w:eastAsia="Calibri" w:hAnsi="Calibri" w:cs="Calibri"/>
        </w:rPr>
        <w:t xml:space="preserve"> should be released </w:t>
      </w:r>
      <w:r w:rsidR="77F387C7" w:rsidRPr="31165B29">
        <w:rPr>
          <w:rFonts w:ascii="Calibri" w:eastAsia="Calibri" w:hAnsi="Calibri" w:cs="Calibri"/>
        </w:rPr>
        <w:t xml:space="preserve">ensuring that for horizontal price analysis that price </w:t>
      </w:r>
      <w:r w:rsidR="27549546" w:rsidRPr="21DE82D6">
        <w:rPr>
          <w:rFonts w:ascii="Calibri" w:eastAsia="Calibri" w:hAnsi="Calibri" w:cs="Calibri"/>
        </w:rPr>
        <w:t>comparisons</w:t>
      </w:r>
      <w:r w:rsidR="77F387C7" w:rsidRPr="31165B29">
        <w:rPr>
          <w:rFonts w:ascii="Calibri" w:eastAsia="Calibri" w:hAnsi="Calibri" w:cs="Calibri"/>
        </w:rPr>
        <w:t xml:space="preserve"> under TDR are limited to identical items and that agencies should </w:t>
      </w:r>
      <w:r w:rsidR="77F387C7" w:rsidRPr="3FAF57D5">
        <w:rPr>
          <w:rFonts w:ascii="Calibri" w:eastAsia="Calibri" w:hAnsi="Calibri" w:cs="Calibri"/>
        </w:rPr>
        <w:t>account for the quality and service provided with the item.</w:t>
      </w:r>
      <w:r w:rsidR="0515D2CF" w:rsidRPr="5CABEC2D">
        <w:rPr>
          <w:rFonts w:ascii="Calibri" w:eastAsia="Calibri" w:hAnsi="Calibri" w:cs="Calibri"/>
        </w:rPr>
        <w:t xml:space="preserve"> </w:t>
      </w:r>
      <w:r w:rsidRPr="5CABEC2D">
        <w:rPr>
          <w:rFonts w:ascii="Calibri" w:eastAsia="Calibri" w:hAnsi="Calibri" w:cs="Calibri"/>
        </w:rPr>
        <w:t xml:space="preserve"> </w:t>
      </w:r>
      <w:r w:rsidRPr="3E0F598F">
        <w:rPr>
          <w:rFonts w:ascii="Calibri" w:eastAsia="Calibri" w:hAnsi="Calibri" w:cs="Calibri"/>
        </w:rPr>
        <w:t xml:space="preserve">As reflected in FAR 15.404-1(b)(ii), price analysis using historical pricing data is a multifaceted task where variations in facts and circumstances underlying the data directly impact its relevancy and utility in making price comparisons. In addition, as supply chain issues and other external factors fuel inflation, it is imperative that historical prices (however recent) are measured with proper contextualization. The importance of training cannot be overstated. </w:t>
      </w:r>
      <w:r w:rsidR="00FF3E80">
        <w:br/>
      </w:r>
    </w:p>
    <w:p w14:paraId="2C078E63" w14:textId="71BF1302" w:rsidR="00795103" w:rsidRDefault="00795103" w:rsidP="3E0F598F"/>
    <w:sectPr w:rsidR="00795103">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00B1B" w14:textId="77777777" w:rsidR="00C85471" w:rsidRDefault="00C85471">
      <w:pPr>
        <w:spacing w:after="0" w:line="240" w:lineRule="auto"/>
      </w:pPr>
      <w:r>
        <w:separator/>
      </w:r>
    </w:p>
  </w:endnote>
  <w:endnote w:type="continuationSeparator" w:id="0">
    <w:p w14:paraId="52861620" w14:textId="77777777" w:rsidR="00C85471" w:rsidRDefault="00C85471">
      <w:pPr>
        <w:spacing w:after="0" w:line="240" w:lineRule="auto"/>
      </w:pPr>
      <w:r>
        <w:continuationSeparator/>
      </w:r>
    </w:p>
  </w:endnote>
  <w:endnote w:type="continuationNotice" w:id="1">
    <w:p w14:paraId="43EF4DDE" w14:textId="77777777" w:rsidR="00C85471" w:rsidRDefault="00C854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581756"/>
      <w:docPartObj>
        <w:docPartGallery w:val="Page Numbers (Bottom of Page)"/>
        <w:docPartUnique/>
      </w:docPartObj>
    </w:sdtPr>
    <w:sdtEndPr>
      <w:rPr>
        <w:noProof/>
      </w:rPr>
    </w:sdtEndPr>
    <w:sdtContent>
      <w:p w14:paraId="523B9BEA" w14:textId="3E7D57E6" w:rsidR="002D6AB5" w:rsidRDefault="002D6A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C07EB1" w14:textId="77777777" w:rsidR="00AA1685" w:rsidRDefault="00AA1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DAFF4" w14:textId="77777777" w:rsidR="00C85471" w:rsidRDefault="00C85471">
      <w:pPr>
        <w:spacing w:after="0" w:line="240" w:lineRule="auto"/>
      </w:pPr>
      <w:r>
        <w:separator/>
      </w:r>
    </w:p>
  </w:footnote>
  <w:footnote w:type="continuationSeparator" w:id="0">
    <w:p w14:paraId="772F9204" w14:textId="77777777" w:rsidR="00C85471" w:rsidRDefault="00C85471">
      <w:pPr>
        <w:spacing w:after="0" w:line="240" w:lineRule="auto"/>
      </w:pPr>
      <w:r>
        <w:continuationSeparator/>
      </w:r>
    </w:p>
  </w:footnote>
  <w:footnote w:type="continuationNotice" w:id="1">
    <w:p w14:paraId="1604295E" w14:textId="77777777" w:rsidR="00C85471" w:rsidRDefault="00C85471">
      <w:pPr>
        <w:spacing w:after="0" w:line="240" w:lineRule="auto"/>
      </w:pPr>
    </w:p>
  </w:footnote>
  <w:footnote w:id="2">
    <w:p w14:paraId="1C79085B" w14:textId="4E4EA774" w:rsidR="005A37CC" w:rsidRDefault="005A37CC">
      <w:pPr>
        <w:pStyle w:val="FootnoteText"/>
      </w:pPr>
      <w:r>
        <w:rPr>
          <w:rStyle w:val="FootnoteReference"/>
        </w:rPr>
        <w:footnoteRef/>
      </w:r>
      <w:r>
        <w:t xml:space="preserve"> </w:t>
      </w:r>
      <w:r w:rsidRPr="3E0F598F">
        <w:rPr>
          <w:rFonts w:ascii="Calibri" w:eastAsia="Calibri" w:hAnsi="Calibri" w:cs="Calibri"/>
        </w:rPr>
        <w:t>GSAM 552.238-81.</w:t>
      </w:r>
    </w:p>
  </w:footnote>
  <w:footnote w:id="3">
    <w:p w14:paraId="4BA34360" w14:textId="392902FB" w:rsidR="0015063B" w:rsidRDefault="0015063B">
      <w:pPr>
        <w:pStyle w:val="FootnoteText"/>
      </w:pPr>
      <w:r>
        <w:rPr>
          <w:rStyle w:val="FootnoteReference"/>
        </w:rPr>
        <w:footnoteRef/>
      </w:r>
      <w:r>
        <w:t xml:space="preserve"> </w:t>
      </w:r>
      <w:r w:rsidRPr="0015063B">
        <w:rPr>
          <w:i/>
          <w:iCs/>
        </w:rPr>
        <w:t>Id.</w:t>
      </w:r>
    </w:p>
  </w:footnote>
  <w:footnote w:id="4">
    <w:p w14:paraId="14EDCABC" w14:textId="03574DE5" w:rsidR="3E0F598F" w:rsidRDefault="3E0F598F" w:rsidP="3E0F598F">
      <w:pPr>
        <w:pStyle w:val="FootnoteText"/>
      </w:pPr>
      <w:r w:rsidRPr="3E0F598F">
        <w:rPr>
          <w:rStyle w:val="FootnoteReference"/>
        </w:rPr>
        <w:footnoteRef/>
      </w:r>
      <w:r>
        <w:t xml:space="preserve"> See “Overview” in 48 CFR Parts 501, 515, 516, 538, and 552, 81 Fed. Reg. 41,104 (Jun. 23, 2016).</w:t>
      </w:r>
    </w:p>
  </w:footnote>
  <w:footnote w:id="5">
    <w:p w14:paraId="7C3EB993" w14:textId="24CBC14C" w:rsidR="00D06901" w:rsidRDefault="00D06901">
      <w:pPr>
        <w:pStyle w:val="FootnoteText"/>
      </w:pPr>
      <w:r>
        <w:rPr>
          <w:rStyle w:val="FootnoteReference"/>
        </w:rPr>
        <w:footnoteRef/>
      </w:r>
      <w:r>
        <w:t xml:space="preserve"> </w:t>
      </w:r>
      <w:r w:rsidR="00BE09A1">
        <w:t>John A. Howell, A Clause in Search of Meaning: A Critical Dissection of the Price Reductions Clause (Plus Suggestions for Reform), 37 PUB. CONT. L.J. 337 (2008), 340-</w:t>
      </w:r>
      <w:r w:rsidR="0015063B">
        <w:t>4</w:t>
      </w:r>
      <w:r w:rsidR="00BE09A1">
        <w:t>1.</w:t>
      </w:r>
    </w:p>
  </w:footnote>
  <w:footnote w:id="6">
    <w:p w14:paraId="4BE612BB" w14:textId="332408F9" w:rsidR="0015063B" w:rsidRPr="0015063B" w:rsidRDefault="0015063B">
      <w:pPr>
        <w:pStyle w:val="FootnoteText"/>
      </w:pPr>
      <w:r>
        <w:rPr>
          <w:rStyle w:val="FootnoteReference"/>
        </w:rPr>
        <w:footnoteRef/>
      </w:r>
      <w:r>
        <w:t xml:space="preserve"> </w:t>
      </w:r>
      <w:r>
        <w:rPr>
          <w:i/>
          <w:iCs/>
        </w:rPr>
        <w:t>Id.</w:t>
      </w:r>
      <w:r>
        <w:t>, 342-47.</w:t>
      </w:r>
    </w:p>
  </w:footnote>
  <w:footnote w:id="7">
    <w:p w14:paraId="5F827583" w14:textId="0A24EDD4" w:rsidR="00855B27" w:rsidRDefault="00855B27">
      <w:pPr>
        <w:pStyle w:val="FootnoteText"/>
      </w:pPr>
      <w:r>
        <w:rPr>
          <w:rStyle w:val="FootnoteReference"/>
        </w:rPr>
        <w:footnoteRef/>
      </w:r>
      <w:r>
        <w:t xml:space="preserve"> </w:t>
      </w:r>
      <w:r w:rsidR="00212718" w:rsidRPr="00212718">
        <w:rPr>
          <w:rFonts w:ascii="Arial" w:hAnsi="Arial" w:cs="Arial"/>
          <w:color w:val="333333"/>
          <w:sz w:val="18"/>
          <w:szCs w:val="18"/>
          <w:shd w:val="clear" w:color="auto" w:fill="FFFFFF"/>
        </w:rPr>
        <w:t>U.S. v. Data Translation, Inc., 984 F.2d 1256 (1st Cir. 1992)</w:t>
      </w:r>
    </w:p>
  </w:footnote>
  <w:footnote w:id="8">
    <w:p w14:paraId="5ECC2B65" w14:textId="75ED495E" w:rsidR="0036439F" w:rsidRDefault="0036439F">
      <w:pPr>
        <w:pStyle w:val="FootnoteText"/>
      </w:pPr>
      <w:r>
        <w:rPr>
          <w:rStyle w:val="FootnoteReference"/>
        </w:rPr>
        <w:footnoteRef/>
      </w:r>
      <w:r w:rsidR="00B808BC">
        <w:t xml:space="preserve"> U</w:t>
      </w:r>
      <w:r w:rsidR="00B808BC" w:rsidRPr="00B808BC">
        <w:t>.S. v. Data Translation, Inc., 984 F.2d 1256, 1263 (1st Cir. 1992)</w:t>
      </w:r>
    </w:p>
  </w:footnote>
  <w:footnote w:id="9">
    <w:p w14:paraId="02AEE650" w14:textId="08538D9C" w:rsidR="00FC0EDD" w:rsidRDefault="00FC0EDD">
      <w:pPr>
        <w:pStyle w:val="FootnoteText"/>
      </w:pPr>
      <w:r>
        <w:rPr>
          <w:rStyle w:val="FootnoteReference"/>
        </w:rPr>
        <w:footnoteRef/>
      </w:r>
      <w:r>
        <w:t xml:space="preserve"> </w:t>
      </w:r>
      <w:r w:rsidR="004D60C5">
        <w:t>48 CFR Parts 511, 516, 532, 538, 546, and 552 69 Fed. Reg. 28,063 (May 18, 2004).</w:t>
      </w:r>
    </w:p>
  </w:footnote>
  <w:footnote w:id="10">
    <w:p w14:paraId="2DF78A1C" w14:textId="39D74142" w:rsidR="00486F35" w:rsidRDefault="00486F35">
      <w:pPr>
        <w:pStyle w:val="FootnoteText"/>
      </w:pPr>
      <w:r>
        <w:rPr>
          <w:rStyle w:val="FootnoteReference"/>
        </w:rPr>
        <w:footnoteRef/>
      </w:r>
      <w:r>
        <w:t xml:space="preserve"> </w:t>
      </w:r>
      <w:r w:rsidR="002D5070">
        <w:t>62 Fed. Reg. 44,518.</w:t>
      </w:r>
    </w:p>
  </w:footnote>
  <w:footnote w:id="11">
    <w:p w14:paraId="0B6591F1" w14:textId="44DBDC5D" w:rsidR="00486F35" w:rsidRDefault="00486F35">
      <w:pPr>
        <w:pStyle w:val="FootnoteText"/>
      </w:pPr>
      <w:r>
        <w:rPr>
          <w:rStyle w:val="FootnoteReference"/>
        </w:rPr>
        <w:footnoteRef/>
      </w:r>
      <w:r>
        <w:t xml:space="preserve"> </w:t>
      </w:r>
      <w:r w:rsidR="002D5070">
        <w:t>P</w:t>
      </w:r>
      <w:r>
        <w:t xml:space="preserve">revious </w:t>
      </w:r>
      <w:r w:rsidR="00873A52">
        <w:t xml:space="preserve">advisory groups have </w:t>
      </w:r>
      <w:r w:rsidR="00806DF2" w:rsidRPr="00806DF2">
        <w:t>advisory groups have come to similar conclusions---both the 2007 Services Acquisition Reform Act and the 2010 Multiple Award Schedule Advisory Panel recommended GSA consider alternatives to the PRC</w:t>
      </w:r>
    </w:p>
  </w:footnote>
  <w:footnote w:id="12">
    <w:p w14:paraId="132E689E" w14:textId="77777777" w:rsidR="00486F35" w:rsidRDefault="00486F35" w:rsidP="00486F35">
      <w:pPr>
        <w:pStyle w:val="FootnoteText"/>
      </w:pPr>
      <w:r>
        <w:rPr>
          <w:rStyle w:val="FootnoteReference"/>
        </w:rPr>
        <w:footnoteRef/>
      </w:r>
      <w:r>
        <w:t xml:space="preserve"> Aaron E. Woodward, The Perverse Effect of the Multiple Award Schedules' Price</w:t>
      </w:r>
    </w:p>
    <w:p w14:paraId="03D7D0DF" w14:textId="76703D7A" w:rsidR="00486F35" w:rsidRDefault="00486F35" w:rsidP="00486F35">
      <w:pPr>
        <w:pStyle w:val="FootnoteText"/>
      </w:pPr>
      <w:r>
        <w:t>Reductions Clause, 41 PUB. CONT. L.J. 527 (2012), 556.</w:t>
      </w:r>
    </w:p>
  </w:footnote>
  <w:footnote w:id="13">
    <w:p w14:paraId="2FFA9C87" w14:textId="1463E280" w:rsidR="00CB6BEE" w:rsidRPr="00F82B2E" w:rsidRDefault="00CB6BEE" w:rsidP="00CB6BEE">
      <w:pPr>
        <w:pStyle w:val="FootnoteText"/>
      </w:pPr>
      <w:r>
        <w:rPr>
          <w:rStyle w:val="FootnoteReference"/>
        </w:rPr>
        <w:footnoteRef/>
      </w:r>
      <w:r>
        <w:t xml:space="preserve"> </w:t>
      </w:r>
      <w:r w:rsidR="005D24A9">
        <w:rPr>
          <w:i/>
          <w:iCs/>
        </w:rPr>
        <w:t xml:space="preserve">Cf. </w:t>
      </w:r>
      <w:r w:rsidR="005D24A9" w:rsidRPr="00072572">
        <w:t>Studies conducted on the VA Federal Supply Schedules program and the federal government’s Medicaid program, both of which were affected by the same price reduction provision</w:t>
      </w:r>
      <w:r w:rsidR="009C5F5C">
        <w:t>,</w:t>
      </w:r>
      <w:r w:rsidR="005D24A9" w:rsidRPr="005D24A9">
        <w:rPr>
          <w:i/>
          <w:iCs/>
        </w:rPr>
        <w:t xml:space="preserve"> </w:t>
      </w:r>
      <w:r w:rsidR="009C5F5C">
        <w:rPr>
          <w:i/>
          <w:iCs/>
        </w:rPr>
        <w:t>i</w:t>
      </w:r>
      <w:r>
        <w:rPr>
          <w:i/>
          <w:iCs/>
        </w:rPr>
        <w:t>d.</w:t>
      </w:r>
      <w:r w:rsidR="005D24A9">
        <w:t xml:space="preserve"> at</w:t>
      </w:r>
      <w:r>
        <w:t xml:space="preserve"> 550.</w:t>
      </w:r>
    </w:p>
  </w:footnote>
  <w:footnote w:id="14">
    <w:p w14:paraId="382F1EAC" w14:textId="2FE11E26" w:rsidR="00500045" w:rsidRDefault="00500045">
      <w:pPr>
        <w:pStyle w:val="FootnoteText"/>
      </w:pPr>
      <w:r>
        <w:rPr>
          <w:rStyle w:val="FootnoteReference"/>
        </w:rPr>
        <w:footnoteRef/>
      </w:r>
      <w:r>
        <w:t xml:space="preserve"> </w:t>
      </w:r>
      <w:r w:rsidR="00226EC4" w:rsidRPr="00226EC4">
        <w:t xml:space="preserve">  </w:t>
      </w:r>
      <w:r w:rsidR="002D6AB5">
        <w:t>FAR &amp; Beyond blog</w:t>
      </w:r>
      <w:r w:rsidR="00226EC4" w:rsidRPr="00226EC4">
        <w:t>, “’Seeding the Schedules Cloud’ – What’s the Forecast?” February 19, 2021. https://thecgp.org/seeding-the-schedules-cloud-whats-the-forecast.html</w:t>
      </w:r>
    </w:p>
  </w:footnote>
  <w:footnote w:id="15">
    <w:p w14:paraId="1050CD8A" w14:textId="21DA03F2" w:rsidR="002F1A0C" w:rsidRDefault="002F1A0C">
      <w:pPr>
        <w:pStyle w:val="FootnoteText"/>
      </w:pPr>
      <w:r>
        <w:rPr>
          <w:rStyle w:val="FootnoteReference"/>
        </w:rPr>
        <w:footnoteRef/>
      </w:r>
      <w:r>
        <w:t xml:space="preserve"> </w:t>
      </w:r>
      <w:r w:rsidR="00286EFF" w:rsidRPr="00286EFF">
        <w:t>General Services Administration. FAS Schedules Sales Query Plus. https://d2d.gsa.gov/report/fas-schedule-sales-query-plus-ssq</w:t>
      </w:r>
    </w:p>
  </w:footnote>
  <w:footnote w:id="16">
    <w:p w14:paraId="6B761FE5" w14:textId="599B6A5E" w:rsidR="00997DAE" w:rsidRDefault="00997DAE">
      <w:pPr>
        <w:pStyle w:val="FootnoteText"/>
      </w:pPr>
      <w:r>
        <w:rPr>
          <w:rStyle w:val="FootnoteReference"/>
        </w:rPr>
        <w:footnoteRef/>
      </w:r>
      <w:r>
        <w:t xml:space="preserve"> </w:t>
      </w:r>
      <w:r w:rsidR="00C40C9E" w:rsidRPr="00C40C9E">
        <w:t>Sonny Hashmi, “Response to Draft Report FAS Cannot Provide Assurance that MAS Contract Pricing Results in Orders Achieving the Lowest Overall Cost Alternative (A200975),” Page 5 of Appendix B in FAS Cannot Provide Assurance that MAS Contract Pricing Results in Orders Achieving the Lowest Overall Cost Alternative (A200975), https://www.gsaig.gov/sites/default/files/audit-reports/A200975%20-%20Final%20Report%20-%20Redacted%20-%209.30.22.pdf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1AF8" w14:textId="3074EE32" w:rsidR="00AA1685" w:rsidRDefault="008F6836">
    <w:pPr>
      <w:pStyle w:val="Header"/>
    </w:pPr>
    <w:r>
      <w:rPr>
        <w:noProof/>
      </w:rPr>
      <w:pict w14:anchorId="02D7EB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7329" o:spid="_x0000_s1026"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6AFF" w14:textId="1211FE37" w:rsidR="00AA1685" w:rsidRDefault="008F6836">
    <w:pPr>
      <w:pStyle w:val="Header"/>
    </w:pPr>
    <w:r>
      <w:rPr>
        <w:noProof/>
      </w:rPr>
      <w:pict w14:anchorId="51F72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7330" o:spid="_x0000_s1027" type="#_x0000_t136" style="position:absolute;margin-left:0;margin-top:0;width:412.4pt;height:247.4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6D79" w14:textId="4DCFF281" w:rsidR="00AA1685" w:rsidRDefault="008F6836">
    <w:pPr>
      <w:pStyle w:val="Header"/>
    </w:pPr>
    <w:r>
      <w:rPr>
        <w:noProof/>
      </w:rPr>
      <w:pict w14:anchorId="238F5C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7328"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9hCgqbyS" int2:invalidationBookmarkName="" int2:hashCode="tH82PitDDAZH8U" int2:id="VL82UAFY">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944E9"/>
    <w:multiLevelType w:val="hybridMultilevel"/>
    <w:tmpl w:val="7C5C53E8"/>
    <w:lvl w:ilvl="0" w:tplc="6B44ADB0">
      <w:start w:val="1"/>
      <w:numFmt w:val="upperRoman"/>
      <w:lvlText w:val="%1."/>
      <w:lvlJc w:val="right"/>
      <w:pPr>
        <w:ind w:left="720" w:hanging="360"/>
      </w:pPr>
    </w:lvl>
    <w:lvl w:ilvl="1" w:tplc="B518DAC8">
      <w:start w:val="1"/>
      <w:numFmt w:val="lowerLetter"/>
      <w:lvlText w:val="%2."/>
      <w:lvlJc w:val="left"/>
      <w:pPr>
        <w:ind w:left="1440" w:hanging="360"/>
      </w:pPr>
    </w:lvl>
    <w:lvl w:ilvl="2" w:tplc="B16C0880">
      <w:start w:val="1"/>
      <w:numFmt w:val="lowerRoman"/>
      <w:lvlText w:val="%3."/>
      <w:lvlJc w:val="right"/>
      <w:pPr>
        <w:ind w:left="2160" w:hanging="180"/>
      </w:pPr>
    </w:lvl>
    <w:lvl w:ilvl="3" w:tplc="7E4CD234">
      <w:start w:val="1"/>
      <w:numFmt w:val="decimal"/>
      <w:lvlText w:val="%4."/>
      <w:lvlJc w:val="left"/>
      <w:pPr>
        <w:ind w:left="2880" w:hanging="360"/>
      </w:pPr>
    </w:lvl>
    <w:lvl w:ilvl="4" w:tplc="C632F8F2">
      <w:start w:val="1"/>
      <w:numFmt w:val="lowerLetter"/>
      <w:lvlText w:val="%5."/>
      <w:lvlJc w:val="left"/>
      <w:pPr>
        <w:ind w:left="3600" w:hanging="360"/>
      </w:pPr>
    </w:lvl>
    <w:lvl w:ilvl="5" w:tplc="E5C42ADC">
      <w:start w:val="1"/>
      <w:numFmt w:val="lowerRoman"/>
      <w:lvlText w:val="%6."/>
      <w:lvlJc w:val="right"/>
      <w:pPr>
        <w:ind w:left="4320" w:hanging="180"/>
      </w:pPr>
    </w:lvl>
    <w:lvl w:ilvl="6" w:tplc="ADE6CE6A">
      <w:start w:val="1"/>
      <w:numFmt w:val="decimal"/>
      <w:lvlText w:val="%7."/>
      <w:lvlJc w:val="left"/>
      <w:pPr>
        <w:ind w:left="5040" w:hanging="360"/>
      </w:pPr>
    </w:lvl>
    <w:lvl w:ilvl="7" w:tplc="6A8E340E">
      <w:start w:val="1"/>
      <w:numFmt w:val="lowerLetter"/>
      <w:lvlText w:val="%8."/>
      <w:lvlJc w:val="left"/>
      <w:pPr>
        <w:ind w:left="5760" w:hanging="360"/>
      </w:pPr>
    </w:lvl>
    <w:lvl w:ilvl="8" w:tplc="6E309BFA">
      <w:start w:val="1"/>
      <w:numFmt w:val="lowerRoman"/>
      <w:lvlText w:val="%9."/>
      <w:lvlJc w:val="right"/>
      <w:pPr>
        <w:ind w:left="6480" w:hanging="180"/>
      </w:pPr>
    </w:lvl>
  </w:abstractNum>
  <w:num w:numId="1" w16cid:durableId="704915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7A64DE"/>
    <w:rsid w:val="00005D71"/>
    <w:rsid w:val="00006EA2"/>
    <w:rsid w:val="00020072"/>
    <w:rsid w:val="000254D8"/>
    <w:rsid w:val="000307BB"/>
    <w:rsid w:val="00046116"/>
    <w:rsid w:val="00046697"/>
    <w:rsid w:val="00054D0F"/>
    <w:rsid w:val="0005517B"/>
    <w:rsid w:val="00055308"/>
    <w:rsid w:val="000569A2"/>
    <w:rsid w:val="00072572"/>
    <w:rsid w:val="000765F8"/>
    <w:rsid w:val="00090D11"/>
    <w:rsid w:val="0009464C"/>
    <w:rsid w:val="00095B40"/>
    <w:rsid w:val="000A524F"/>
    <w:rsid w:val="000B42DF"/>
    <w:rsid w:val="000C6F5A"/>
    <w:rsid w:val="000C7543"/>
    <w:rsid w:val="000D17DE"/>
    <w:rsid w:val="000E2E02"/>
    <w:rsid w:val="000F7934"/>
    <w:rsid w:val="00101B00"/>
    <w:rsid w:val="00103127"/>
    <w:rsid w:val="0011096A"/>
    <w:rsid w:val="00110C3E"/>
    <w:rsid w:val="0011366C"/>
    <w:rsid w:val="00136DA0"/>
    <w:rsid w:val="0015063B"/>
    <w:rsid w:val="00156063"/>
    <w:rsid w:val="00171B64"/>
    <w:rsid w:val="00172DDE"/>
    <w:rsid w:val="0018682B"/>
    <w:rsid w:val="00195C6A"/>
    <w:rsid w:val="001963B1"/>
    <w:rsid w:val="00196A9E"/>
    <w:rsid w:val="001A03C9"/>
    <w:rsid w:val="001A05D2"/>
    <w:rsid w:val="001A4BB3"/>
    <w:rsid w:val="001A6A4F"/>
    <w:rsid w:val="001B5950"/>
    <w:rsid w:val="001B7236"/>
    <w:rsid w:val="001C1C8A"/>
    <w:rsid w:val="001C287B"/>
    <w:rsid w:val="001D5B89"/>
    <w:rsid w:val="001F7216"/>
    <w:rsid w:val="00202050"/>
    <w:rsid w:val="00202E7B"/>
    <w:rsid w:val="0020582D"/>
    <w:rsid w:val="00211A44"/>
    <w:rsid w:val="00212718"/>
    <w:rsid w:val="00220F3E"/>
    <w:rsid w:val="00222703"/>
    <w:rsid w:val="00226EC4"/>
    <w:rsid w:val="0023357A"/>
    <w:rsid w:val="00234C76"/>
    <w:rsid w:val="00237E5E"/>
    <w:rsid w:val="002447B2"/>
    <w:rsid w:val="00255445"/>
    <w:rsid w:val="00256C5C"/>
    <w:rsid w:val="00260F73"/>
    <w:rsid w:val="00264C62"/>
    <w:rsid w:val="002668C2"/>
    <w:rsid w:val="00283DC8"/>
    <w:rsid w:val="00283ED4"/>
    <w:rsid w:val="00286EFF"/>
    <w:rsid w:val="002907A8"/>
    <w:rsid w:val="00292CC6"/>
    <w:rsid w:val="00294FA8"/>
    <w:rsid w:val="002A372E"/>
    <w:rsid w:val="002B15A3"/>
    <w:rsid w:val="002C355C"/>
    <w:rsid w:val="002C3AF8"/>
    <w:rsid w:val="002C4838"/>
    <w:rsid w:val="002C63A8"/>
    <w:rsid w:val="002D5070"/>
    <w:rsid w:val="002D6AB5"/>
    <w:rsid w:val="002F1A0C"/>
    <w:rsid w:val="002F304D"/>
    <w:rsid w:val="0030349B"/>
    <w:rsid w:val="00310D82"/>
    <w:rsid w:val="00325118"/>
    <w:rsid w:val="00330B79"/>
    <w:rsid w:val="00332EC6"/>
    <w:rsid w:val="003341D4"/>
    <w:rsid w:val="00344530"/>
    <w:rsid w:val="00350CA5"/>
    <w:rsid w:val="00353401"/>
    <w:rsid w:val="0036439F"/>
    <w:rsid w:val="003653E6"/>
    <w:rsid w:val="00366396"/>
    <w:rsid w:val="003825F8"/>
    <w:rsid w:val="00383AAA"/>
    <w:rsid w:val="003853D6"/>
    <w:rsid w:val="0039245B"/>
    <w:rsid w:val="0039281F"/>
    <w:rsid w:val="00394FD0"/>
    <w:rsid w:val="003B4FF6"/>
    <w:rsid w:val="003C6C01"/>
    <w:rsid w:val="003D2C4C"/>
    <w:rsid w:val="003D5490"/>
    <w:rsid w:val="003D6CF7"/>
    <w:rsid w:val="003E39A5"/>
    <w:rsid w:val="003E6AF3"/>
    <w:rsid w:val="003F239E"/>
    <w:rsid w:val="00412F27"/>
    <w:rsid w:val="00413EC0"/>
    <w:rsid w:val="0042776E"/>
    <w:rsid w:val="00435008"/>
    <w:rsid w:val="00441810"/>
    <w:rsid w:val="00442800"/>
    <w:rsid w:val="00445CF5"/>
    <w:rsid w:val="00453F54"/>
    <w:rsid w:val="00464855"/>
    <w:rsid w:val="00470483"/>
    <w:rsid w:val="004711BC"/>
    <w:rsid w:val="00480F1B"/>
    <w:rsid w:val="0048381F"/>
    <w:rsid w:val="00486F35"/>
    <w:rsid w:val="004A0E4C"/>
    <w:rsid w:val="004A4A11"/>
    <w:rsid w:val="004C0035"/>
    <w:rsid w:val="004C214A"/>
    <w:rsid w:val="004C2F2D"/>
    <w:rsid w:val="004C427D"/>
    <w:rsid w:val="004D51D4"/>
    <w:rsid w:val="004D60C5"/>
    <w:rsid w:val="004E0F26"/>
    <w:rsid w:val="00500045"/>
    <w:rsid w:val="00511D58"/>
    <w:rsid w:val="00514C9F"/>
    <w:rsid w:val="00515735"/>
    <w:rsid w:val="0053037B"/>
    <w:rsid w:val="00534222"/>
    <w:rsid w:val="00542CBD"/>
    <w:rsid w:val="0057250E"/>
    <w:rsid w:val="005A17F1"/>
    <w:rsid w:val="005A37CC"/>
    <w:rsid w:val="005A436A"/>
    <w:rsid w:val="005A5B2F"/>
    <w:rsid w:val="005B3D18"/>
    <w:rsid w:val="005B5620"/>
    <w:rsid w:val="005C0073"/>
    <w:rsid w:val="005C03C2"/>
    <w:rsid w:val="005C1014"/>
    <w:rsid w:val="005C6F53"/>
    <w:rsid w:val="005D24A9"/>
    <w:rsid w:val="005D6DCE"/>
    <w:rsid w:val="005E59DC"/>
    <w:rsid w:val="005E6377"/>
    <w:rsid w:val="005E72EE"/>
    <w:rsid w:val="005E75A3"/>
    <w:rsid w:val="006001A3"/>
    <w:rsid w:val="00601FF0"/>
    <w:rsid w:val="00602A96"/>
    <w:rsid w:val="00605E73"/>
    <w:rsid w:val="0062234F"/>
    <w:rsid w:val="0062326E"/>
    <w:rsid w:val="006340EA"/>
    <w:rsid w:val="006345B4"/>
    <w:rsid w:val="006370D0"/>
    <w:rsid w:val="00647E27"/>
    <w:rsid w:val="00650970"/>
    <w:rsid w:val="00652681"/>
    <w:rsid w:val="00670BC9"/>
    <w:rsid w:val="0067289A"/>
    <w:rsid w:val="00675665"/>
    <w:rsid w:val="00675FD0"/>
    <w:rsid w:val="006801A7"/>
    <w:rsid w:val="006813C3"/>
    <w:rsid w:val="0068146F"/>
    <w:rsid w:val="0068311D"/>
    <w:rsid w:val="00690799"/>
    <w:rsid w:val="00691AA6"/>
    <w:rsid w:val="006947FB"/>
    <w:rsid w:val="00696C3B"/>
    <w:rsid w:val="00697B81"/>
    <w:rsid w:val="006A4BF7"/>
    <w:rsid w:val="006A5758"/>
    <w:rsid w:val="006B2597"/>
    <w:rsid w:val="006B4BEA"/>
    <w:rsid w:val="006B715F"/>
    <w:rsid w:val="006C79B4"/>
    <w:rsid w:val="006D329D"/>
    <w:rsid w:val="006D39B9"/>
    <w:rsid w:val="006D4B22"/>
    <w:rsid w:val="006D6C68"/>
    <w:rsid w:val="006E0236"/>
    <w:rsid w:val="006F52D9"/>
    <w:rsid w:val="00703E2C"/>
    <w:rsid w:val="00711475"/>
    <w:rsid w:val="007235F8"/>
    <w:rsid w:val="00725587"/>
    <w:rsid w:val="00725935"/>
    <w:rsid w:val="00734903"/>
    <w:rsid w:val="00734E0A"/>
    <w:rsid w:val="00743D4F"/>
    <w:rsid w:val="007615D7"/>
    <w:rsid w:val="007668E5"/>
    <w:rsid w:val="00773044"/>
    <w:rsid w:val="00774067"/>
    <w:rsid w:val="0079061C"/>
    <w:rsid w:val="0079443C"/>
    <w:rsid w:val="00795103"/>
    <w:rsid w:val="007A1528"/>
    <w:rsid w:val="007A20CB"/>
    <w:rsid w:val="007B0D8F"/>
    <w:rsid w:val="007B3B00"/>
    <w:rsid w:val="007C07FC"/>
    <w:rsid w:val="007C19C5"/>
    <w:rsid w:val="007C51E7"/>
    <w:rsid w:val="007D14EB"/>
    <w:rsid w:val="007D5AE6"/>
    <w:rsid w:val="007E1BC5"/>
    <w:rsid w:val="007E368B"/>
    <w:rsid w:val="007E3CD7"/>
    <w:rsid w:val="007E70C8"/>
    <w:rsid w:val="00800395"/>
    <w:rsid w:val="00806DF2"/>
    <w:rsid w:val="008161CA"/>
    <w:rsid w:val="00817395"/>
    <w:rsid w:val="00824531"/>
    <w:rsid w:val="008251A1"/>
    <w:rsid w:val="0083743A"/>
    <w:rsid w:val="0084143C"/>
    <w:rsid w:val="00841D63"/>
    <w:rsid w:val="008511B9"/>
    <w:rsid w:val="00855B27"/>
    <w:rsid w:val="00866675"/>
    <w:rsid w:val="00871575"/>
    <w:rsid w:val="00871C4A"/>
    <w:rsid w:val="00873A52"/>
    <w:rsid w:val="00873DA0"/>
    <w:rsid w:val="00881633"/>
    <w:rsid w:val="008827B9"/>
    <w:rsid w:val="008844F1"/>
    <w:rsid w:val="0088706B"/>
    <w:rsid w:val="008B0E07"/>
    <w:rsid w:val="008B349F"/>
    <w:rsid w:val="008B5779"/>
    <w:rsid w:val="008C4E81"/>
    <w:rsid w:val="008D0DD0"/>
    <w:rsid w:val="008D2131"/>
    <w:rsid w:val="008D3C1B"/>
    <w:rsid w:val="008D64BE"/>
    <w:rsid w:val="008F2D0C"/>
    <w:rsid w:val="008F6836"/>
    <w:rsid w:val="009007C3"/>
    <w:rsid w:val="0090122A"/>
    <w:rsid w:val="00903276"/>
    <w:rsid w:val="00912E34"/>
    <w:rsid w:val="00913ADA"/>
    <w:rsid w:val="009144E4"/>
    <w:rsid w:val="00926444"/>
    <w:rsid w:val="0093344D"/>
    <w:rsid w:val="009422AE"/>
    <w:rsid w:val="009626CF"/>
    <w:rsid w:val="0096299D"/>
    <w:rsid w:val="009661DC"/>
    <w:rsid w:val="00974982"/>
    <w:rsid w:val="009845CE"/>
    <w:rsid w:val="00984AAA"/>
    <w:rsid w:val="00996253"/>
    <w:rsid w:val="00997DAE"/>
    <w:rsid w:val="009A242A"/>
    <w:rsid w:val="009A293D"/>
    <w:rsid w:val="009A44A7"/>
    <w:rsid w:val="009A6DD3"/>
    <w:rsid w:val="009B45F9"/>
    <w:rsid w:val="009C4632"/>
    <w:rsid w:val="009C5F5C"/>
    <w:rsid w:val="009C609C"/>
    <w:rsid w:val="009D4A31"/>
    <w:rsid w:val="009D679D"/>
    <w:rsid w:val="009E2AB4"/>
    <w:rsid w:val="009E2FD2"/>
    <w:rsid w:val="009E7474"/>
    <w:rsid w:val="009F4076"/>
    <w:rsid w:val="00A13AFA"/>
    <w:rsid w:val="00A15696"/>
    <w:rsid w:val="00A42CF8"/>
    <w:rsid w:val="00A5247D"/>
    <w:rsid w:val="00A5409D"/>
    <w:rsid w:val="00A57536"/>
    <w:rsid w:val="00A57E83"/>
    <w:rsid w:val="00A7151C"/>
    <w:rsid w:val="00A71952"/>
    <w:rsid w:val="00A722BE"/>
    <w:rsid w:val="00A84DD1"/>
    <w:rsid w:val="00A95619"/>
    <w:rsid w:val="00AA1685"/>
    <w:rsid w:val="00AB744F"/>
    <w:rsid w:val="00AC53EF"/>
    <w:rsid w:val="00AD03A0"/>
    <w:rsid w:val="00AD0B00"/>
    <w:rsid w:val="00AD75C5"/>
    <w:rsid w:val="00AE2DBB"/>
    <w:rsid w:val="00AE2F35"/>
    <w:rsid w:val="00AE4939"/>
    <w:rsid w:val="00AE5174"/>
    <w:rsid w:val="00AF1790"/>
    <w:rsid w:val="00AF629D"/>
    <w:rsid w:val="00AF62C3"/>
    <w:rsid w:val="00B02FCB"/>
    <w:rsid w:val="00B03628"/>
    <w:rsid w:val="00B04D16"/>
    <w:rsid w:val="00B10460"/>
    <w:rsid w:val="00B10C1D"/>
    <w:rsid w:val="00B110D3"/>
    <w:rsid w:val="00B25A01"/>
    <w:rsid w:val="00B34C52"/>
    <w:rsid w:val="00B4237F"/>
    <w:rsid w:val="00B472E2"/>
    <w:rsid w:val="00B52B07"/>
    <w:rsid w:val="00B54BBE"/>
    <w:rsid w:val="00B601BA"/>
    <w:rsid w:val="00B738FF"/>
    <w:rsid w:val="00B77BFA"/>
    <w:rsid w:val="00B808BC"/>
    <w:rsid w:val="00B81A5C"/>
    <w:rsid w:val="00BA4451"/>
    <w:rsid w:val="00BA68BD"/>
    <w:rsid w:val="00BB18EF"/>
    <w:rsid w:val="00BB7621"/>
    <w:rsid w:val="00BC1AEF"/>
    <w:rsid w:val="00BC7C83"/>
    <w:rsid w:val="00BE09A1"/>
    <w:rsid w:val="00BE0E53"/>
    <w:rsid w:val="00BE33D4"/>
    <w:rsid w:val="00BE4723"/>
    <w:rsid w:val="00BF3CAC"/>
    <w:rsid w:val="00C0001F"/>
    <w:rsid w:val="00C05573"/>
    <w:rsid w:val="00C05A61"/>
    <w:rsid w:val="00C134BD"/>
    <w:rsid w:val="00C13582"/>
    <w:rsid w:val="00C1775E"/>
    <w:rsid w:val="00C2635E"/>
    <w:rsid w:val="00C26C42"/>
    <w:rsid w:val="00C30552"/>
    <w:rsid w:val="00C33678"/>
    <w:rsid w:val="00C35B4C"/>
    <w:rsid w:val="00C37B91"/>
    <w:rsid w:val="00C40C9E"/>
    <w:rsid w:val="00C50389"/>
    <w:rsid w:val="00C553D8"/>
    <w:rsid w:val="00C575B8"/>
    <w:rsid w:val="00C57662"/>
    <w:rsid w:val="00C76096"/>
    <w:rsid w:val="00C8250F"/>
    <w:rsid w:val="00C83658"/>
    <w:rsid w:val="00C85471"/>
    <w:rsid w:val="00C90AEA"/>
    <w:rsid w:val="00C94481"/>
    <w:rsid w:val="00CB0350"/>
    <w:rsid w:val="00CB6BEE"/>
    <w:rsid w:val="00CC3DC2"/>
    <w:rsid w:val="00CC7162"/>
    <w:rsid w:val="00CC7C43"/>
    <w:rsid w:val="00CE1447"/>
    <w:rsid w:val="00CF5A2B"/>
    <w:rsid w:val="00CF5D60"/>
    <w:rsid w:val="00D0122E"/>
    <w:rsid w:val="00D06901"/>
    <w:rsid w:val="00D24103"/>
    <w:rsid w:val="00D3713E"/>
    <w:rsid w:val="00D54041"/>
    <w:rsid w:val="00D60A1B"/>
    <w:rsid w:val="00D651B2"/>
    <w:rsid w:val="00D65ABE"/>
    <w:rsid w:val="00D8071E"/>
    <w:rsid w:val="00D879A7"/>
    <w:rsid w:val="00D93078"/>
    <w:rsid w:val="00DA21D4"/>
    <w:rsid w:val="00DA326C"/>
    <w:rsid w:val="00DA3280"/>
    <w:rsid w:val="00DA6E12"/>
    <w:rsid w:val="00DC0780"/>
    <w:rsid w:val="00DC3895"/>
    <w:rsid w:val="00DC3B24"/>
    <w:rsid w:val="00DC7155"/>
    <w:rsid w:val="00DD3B1F"/>
    <w:rsid w:val="00DE0650"/>
    <w:rsid w:val="00DE4782"/>
    <w:rsid w:val="00DF4D14"/>
    <w:rsid w:val="00DF579C"/>
    <w:rsid w:val="00DF5BA1"/>
    <w:rsid w:val="00E051CF"/>
    <w:rsid w:val="00E063C1"/>
    <w:rsid w:val="00E2145D"/>
    <w:rsid w:val="00E3044B"/>
    <w:rsid w:val="00E36743"/>
    <w:rsid w:val="00E37558"/>
    <w:rsid w:val="00E40005"/>
    <w:rsid w:val="00E47217"/>
    <w:rsid w:val="00E4797D"/>
    <w:rsid w:val="00E52E91"/>
    <w:rsid w:val="00E543BB"/>
    <w:rsid w:val="00E62B30"/>
    <w:rsid w:val="00E66680"/>
    <w:rsid w:val="00E73A41"/>
    <w:rsid w:val="00E741B2"/>
    <w:rsid w:val="00E82E12"/>
    <w:rsid w:val="00E86A4F"/>
    <w:rsid w:val="00E90A01"/>
    <w:rsid w:val="00EA1739"/>
    <w:rsid w:val="00EA7B73"/>
    <w:rsid w:val="00EB394D"/>
    <w:rsid w:val="00EB4A5A"/>
    <w:rsid w:val="00EB7374"/>
    <w:rsid w:val="00EB78E2"/>
    <w:rsid w:val="00EC1975"/>
    <w:rsid w:val="00EC4286"/>
    <w:rsid w:val="00EC4CC1"/>
    <w:rsid w:val="00EC6B42"/>
    <w:rsid w:val="00ED0126"/>
    <w:rsid w:val="00EF4916"/>
    <w:rsid w:val="00F00BEF"/>
    <w:rsid w:val="00F01CE1"/>
    <w:rsid w:val="00F06C9A"/>
    <w:rsid w:val="00F07A2B"/>
    <w:rsid w:val="00F2520E"/>
    <w:rsid w:val="00F30307"/>
    <w:rsid w:val="00F35A7B"/>
    <w:rsid w:val="00F419AC"/>
    <w:rsid w:val="00F45C62"/>
    <w:rsid w:val="00F5018F"/>
    <w:rsid w:val="00F526D4"/>
    <w:rsid w:val="00F56338"/>
    <w:rsid w:val="00F6453A"/>
    <w:rsid w:val="00F82B2E"/>
    <w:rsid w:val="00F84D0F"/>
    <w:rsid w:val="00F9763D"/>
    <w:rsid w:val="00FA0B60"/>
    <w:rsid w:val="00FA287C"/>
    <w:rsid w:val="00FA492C"/>
    <w:rsid w:val="00FA7365"/>
    <w:rsid w:val="00FC0EDD"/>
    <w:rsid w:val="00FD7CFB"/>
    <w:rsid w:val="00FE5250"/>
    <w:rsid w:val="00FE60F8"/>
    <w:rsid w:val="00FF081E"/>
    <w:rsid w:val="00FF322A"/>
    <w:rsid w:val="00FF3D02"/>
    <w:rsid w:val="00FF3E80"/>
    <w:rsid w:val="00FF45D7"/>
    <w:rsid w:val="01021842"/>
    <w:rsid w:val="0108DE21"/>
    <w:rsid w:val="020803FC"/>
    <w:rsid w:val="027D8F47"/>
    <w:rsid w:val="02AA5453"/>
    <w:rsid w:val="02F883DF"/>
    <w:rsid w:val="034F94A2"/>
    <w:rsid w:val="03660510"/>
    <w:rsid w:val="03D21FE7"/>
    <w:rsid w:val="0456309B"/>
    <w:rsid w:val="0498FC7B"/>
    <w:rsid w:val="0515D2CF"/>
    <w:rsid w:val="05550AA9"/>
    <w:rsid w:val="05A5FB1D"/>
    <w:rsid w:val="06DC949C"/>
    <w:rsid w:val="08344B34"/>
    <w:rsid w:val="084DF7A0"/>
    <w:rsid w:val="099FC661"/>
    <w:rsid w:val="0BBC9EDB"/>
    <w:rsid w:val="0C37395B"/>
    <w:rsid w:val="0C63B10A"/>
    <w:rsid w:val="0CA5E2A9"/>
    <w:rsid w:val="0CFC972C"/>
    <w:rsid w:val="0DD309BC"/>
    <w:rsid w:val="0E18D58C"/>
    <w:rsid w:val="0E74F7C9"/>
    <w:rsid w:val="0F1465B3"/>
    <w:rsid w:val="0F22CB84"/>
    <w:rsid w:val="0F6EDA1D"/>
    <w:rsid w:val="0F76C7A3"/>
    <w:rsid w:val="10065CC5"/>
    <w:rsid w:val="104C74A3"/>
    <w:rsid w:val="110ECE9D"/>
    <w:rsid w:val="11129804"/>
    <w:rsid w:val="11957BCA"/>
    <w:rsid w:val="11CA309B"/>
    <w:rsid w:val="11D01C44"/>
    <w:rsid w:val="1214DDDF"/>
    <w:rsid w:val="123577F5"/>
    <w:rsid w:val="12589F43"/>
    <w:rsid w:val="1378170C"/>
    <w:rsid w:val="147FDCE0"/>
    <w:rsid w:val="14EDA84E"/>
    <w:rsid w:val="1522B1B0"/>
    <w:rsid w:val="1545FCF5"/>
    <w:rsid w:val="15D6D126"/>
    <w:rsid w:val="15F0F739"/>
    <w:rsid w:val="167DB09F"/>
    <w:rsid w:val="1704DA9C"/>
    <w:rsid w:val="1754D57C"/>
    <w:rsid w:val="1759AF7F"/>
    <w:rsid w:val="17B0A80A"/>
    <w:rsid w:val="17F16183"/>
    <w:rsid w:val="1844DE1C"/>
    <w:rsid w:val="18BDE568"/>
    <w:rsid w:val="1926C564"/>
    <w:rsid w:val="196FC2FA"/>
    <w:rsid w:val="19BE0835"/>
    <w:rsid w:val="1A73E81A"/>
    <w:rsid w:val="1A914CBD"/>
    <w:rsid w:val="1AE212BA"/>
    <w:rsid w:val="1AF77321"/>
    <w:rsid w:val="1C288A92"/>
    <w:rsid w:val="1C554AAB"/>
    <w:rsid w:val="1C5D0C77"/>
    <w:rsid w:val="1EB6D4EC"/>
    <w:rsid w:val="20720DD7"/>
    <w:rsid w:val="20D38070"/>
    <w:rsid w:val="21DE82D6"/>
    <w:rsid w:val="21EC31D8"/>
    <w:rsid w:val="228F8035"/>
    <w:rsid w:val="231F2943"/>
    <w:rsid w:val="23958909"/>
    <w:rsid w:val="23A01ED3"/>
    <w:rsid w:val="242DCF68"/>
    <w:rsid w:val="24AE00EE"/>
    <w:rsid w:val="24C206B6"/>
    <w:rsid w:val="24DE4433"/>
    <w:rsid w:val="2590F61B"/>
    <w:rsid w:val="26BFDC3D"/>
    <w:rsid w:val="272CC67C"/>
    <w:rsid w:val="27549546"/>
    <w:rsid w:val="281EEB40"/>
    <w:rsid w:val="2927184D"/>
    <w:rsid w:val="29979B86"/>
    <w:rsid w:val="29CCA30F"/>
    <w:rsid w:val="29E50FCC"/>
    <w:rsid w:val="29F872AD"/>
    <w:rsid w:val="2AD63694"/>
    <w:rsid w:val="2CA970DD"/>
    <w:rsid w:val="2CC92591"/>
    <w:rsid w:val="2F557C9F"/>
    <w:rsid w:val="2F8E2B9C"/>
    <w:rsid w:val="30036082"/>
    <w:rsid w:val="307DA9CD"/>
    <w:rsid w:val="30C226BA"/>
    <w:rsid w:val="31165B29"/>
    <w:rsid w:val="317CE70D"/>
    <w:rsid w:val="3288037B"/>
    <w:rsid w:val="329C832A"/>
    <w:rsid w:val="32A66701"/>
    <w:rsid w:val="32E4AF92"/>
    <w:rsid w:val="33540510"/>
    <w:rsid w:val="345CFDEE"/>
    <w:rsid w:val="354D801F"/>
    <w:rsid w:val="35ABD4AA"/>
    <w:rsid w:val="370D0E61"/>
    <w:rsid w:val="3715E11D"/>
    <w:rsid w:val="37B7268F"/>
    <w:rsid w:val="381BE6AD"/>
    <w:rsid w:val="386F9355"/>
    <w:rsid w:val="38CF8247"/>
    <w:rsid w:val="3928E72D"/>
    <w:rsid w:val="3933E5B6"/>
    <w:rsid w:val="39937060"/>
    <w:rsid w:val="3A0939A2"/>
    <w:rsid w:val="3B246EFE"/>
    <w:rsid w:val="3B4B3BA5"/>
    <w:rsid w:val="3B4F598A"/>
    <w:rsid w:val="3B636C18"/>
    <w:rsid w:val="3BBB8B84"/>
    <w:rsid w:val="3C12D050"/>
    <w:rsid w:val="3C1AB9C3"/>
    <w:rsid w:val="3C4222C1"/>
    <w:rsid w:val="3C79166D"/>
    <w:rsid w:val="3CC1D901"/>
    <w:rsid w:val="3D0A99DE"/>
    <w:rsid w:val="3DBED415"/>
    <w:rsid w:val="3E0F598F"/>
    <w:rsid w:val="3E86FA4C"/>
    <w:rsid w:val="3FAF57D5"/>
    <w:rsid w:val="3FBD39A8"/>
    <w:rsid w:val="408F06F9"/>
    <w:rsid w:val="40F5475E"/>
    <w:rsid w:val="40F674D7"/>
    <w:rsid w:val="417A6DBD"/>
    <w:rsid w:val="420B15FD"/>
    <w:rsid w:val="42735AA8"/>
    <w:rsid w:val="4396F38B"/>
    <w:rsid w:val="442CD047"/>
    <w:rsid w:val="44300868"/>
    <w:rsid w:val="4457B462"/>
    <w:rsid w:val="4469856A"/>
    <w:rsid w:val="44A137FF"/>
    <w:rsid w:val="44B73407"/>
    <w:rsid w:val="453E47DF"/>
    <w:rsid w:val="4575ADCE"/>
    <w:rsid w:val="45C41B5F"/>
    <w:rsid w:val="4600A21E"/>
    <w:rsid w:val="461AEF33"/>
    <w:rsid w:val="46348937"/>
    <w:rsid w:val="46CF7676"/>
    <w:rsid w:val="49B4FF71"/>
    <w:rsid w:val="4A969ECC"/>
    <w:rsid w:val="4AFAE12F"/>
    <w:rsid w:val="4B895AA9"/>
    <w:rsid w:val="4EFCE629"/>
    <w:rsid w:val="4F755414"/>
    <w:rsid w:val="4F7BE691"/>
    <w:rsid w:val="4FE3EAA6"/>
    <w:rsid w:val="50F37044"/>
    <w:rsid w:val="514FDA17"/>
    <w:rsid w:val="517C8C82"/>
    <w:rsid w:val="517FBB07"/>
    <w:rsid w:val="53FE8E56"/>
    <w:rsid w:val="54146B8D"/>
    <w:rsid w:val="5425623C"/>
    <w:rsid w:val="542B1106"/>
    <w:rsid w:val="54A5370B"/>
    <w:rsid w:val="54A56DCF"/>
    <w:rsid w:val="54B3614F"/>
    <w:rsid w:val="54ED4050"/>
    <w:rsid w:val="551D4F63"/>
    <w:rsid w:val="55D39F2E"/>
    <w:rsid w:val="55D8653A"/>
    <w:rsid w:val="56538639"/>
    <w:rsid w:val="56A626AE"/>
    <w:rsid w:val="56BA2673"/>
    <w:rsid w:val="56E9C34D"/>
    <w:rsid w:val="573EFD93"/>
    <w:rsid w:val="5762B1C8"/>
    <w:rsid w:val="585674BB"/>
    <w:rsid w:val="587ABB69"/>
    <w:rsid w:val="59BCD785"/>
    <w:rsid w:val="5B2E8AD3"/>
    <w:rsid w:val="5B4AD0C6"/>
    <w:rsid w:val="5BCF02E8"/>
    <w:rsid w:val="5C44FBF0"/>
    <w:rsid w:val="5C7AFD34"/>
    <w:rsid w:val="5CABEC2D"/>
    <w:rsid w:val="5D0636A8"/>
    <w:rsid w:val="5D29E5DE"/>
    <w:rsid w:val="5DB82745"/>
    <w:rsid w:val="5F010A8B"/>
    <w:rsid w:val="5F0ED915"/>
    <w:rsid w:val="5F583E4B"/>
    <w:rsid w:val="5F7A64DE"/>
    <w:rsid w:val="6013EF08"/>
    <w:rsid w:val="60E21A5D"/>
    <w:rsid w:val="6146E673"/>
    <w:rsid w:val="616AB1D8"/>
    <w:rsid w:val="6179052D"/>
    <w:rsid w:val="61B26C8B"/>
    <w:rsid w:val="62276032"/>
    <w:rsid w:val="63389BDC"/>
    <w:rsid w:val="64396E52"/>
    <w:rsid w:val="64F7A7DB"/>
    <w:rsid w:val="655CE585"/>
    <w:rsid w:val="65B2C197"/>
    <w:rsid w:val="66025E29"/>
    <w:rsid w:val="6614E3D9"/>
    <w:rsid w:val="66B4747D"/>
    <w:rsid w:val="66C47DA9"/>
    <w:rsid w:val="67F3E57E"/>
    <w:rsid w:val="69152235"/>
    <w:rsid w:val="692FEDCC"/>
    <w:rsid w:val="698FB5DF"/>
    <w:rsid w:val="6A569FD5"/>
    <w:rsid w:val="6AC6BF84"/>
    <w:rsid w:val="6B1AA5C8"/>
    <w:rsid w:val="6B305730"/>
    <w:rsid w:val="6BD06D7B"/>
    <w:rsid w:val="6BE22324"/>
    <w:rsid w:val="6BF85859"/>
    <w:rsid w:val="6CC756A1"/>
    <w:rsid w:val="6CCC2791"/>
    <w:rsid w:val="6D32ED73"/>
    <w:rsid w:val="6E3221E3"/>
    <w:rsid w:val="6F224938"/>
    <w:rsid w:val="6F668469"/>
    <w:rsid w:val="70A3DE9E"/>
    <w:rsid w:val="710187C1"/>
    <w:rsid w:val="719F98B4"/>
    <w:rsid w:val="71A2CA7A"/>
    <w:rsid w:val="71ADF15C"/>
    <w:rsid w:val="71CDB22C"/>
    <w:rsid w:val="71FD852F"/>
    <w:rsid w:val="7201E27B"/>
    <w:rsid w:val="721CBA06"/>
    <w:rsid w:val="7341D29A"/>
    <w:rsid w:val="734507B1"/>
    <w:rsid w:val="73E6EFED"/>
    <w:rsid w:val="74098A63"/>
    <w:rsid w:val="745E9202"/>
    <w:rsid w:val="747D0F91"/>
    <w:rsid w:val="74C23374"/>
    <w:rsid w:val="74D2EFA3"/>
    <w:rsid w:val="7560EEB6"/>
    <w:rsid w:val="75774FC1"/>
    <w:rsid w:val="757C4B99"/>
    <w:rsid w:val="761DACF2"/>
    <w:rsid w:val="76A58783"/>
    <w:rsid w:val="76CE3276"/>
    <w:rsid w:val="76E4FC74"/>
    <w:rsid w:val="77F387C7"/>
    <w:rsid w:val="780EDA38"/>
    <w:rsid w:val="780F17A1"/>
    <w:rsid w:val="78A26C15"/>
    <w:rsid w:val="78E8182D"/>
    <w:rsid w:val="792A7B41"/>
    <w:rsid w:val="79C9542F"/>
    <w:rsid w:val="7AB553E5"/>
    <w:rsid w:val="7B477719"/>
    <w:rsid w:val="7BA9223A"/>
    <w:rsid w:val="7C356CFD"/>
    <w:rsid w:val="7C7C904F"/>
    <w:rsid w:val="7DBCE5F1"/>
    <w:rsid w:val="7DEFBBA4"/>
    <w:rsid w:val="7EDD7022"/>
    <w:rsid w:val="7FCD1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A64DE"/>
  <w15:chartTrackingRefBased/>
  <w15:docId w15:val="{AFC27632-8DE8-4D11-8872-176580D6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65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ABE"/>
  </w:style>
  <w:style w:type="paragraph" w:styleId="Footer">
    <w:name w:val="footer"/>
    <w:basedOn w:val="Normal"/>
    <w:link w:val="FooterChar"/>
    <w:uiPriority w:val="99"/>
    <w:unhideWhenUsed/>
    <w:rsid w:val="00D65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ABE"/>
  </w:style>
  <w:style w:type="character" w:styleId="FollowedHyperlink">
    <w:name w:val="FollowedHyperlink"/>
    <w:basedOn w:val="DefaultParagraphFont"/>
    <w:uiPriority w:val="99"/>
    <w:semiHidden/>
    <w:unhideWhenUsed/>
    <w:rsid w:val="006B2597"/>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3037B"/>
    <w:rPr>
      <w:b/>
      <w:bCs/>
    </w:rPr>
  </w:style>
  <w:style w:type="character" w:customStyle="1" w:styleId="CommentSubjectChar">
    <w:name w:val="Comment Subject Char"/>
    <w:basedOn w:val="CommentTextChar"/>
    <w:link w:val="CommentSubject"/>
    <w:uiPriority w:val="99"/>
    <w:semiHidden/>
    <w:rsid w:val="0053037B"/>
    <w:rPr>
      <w:b/>
      <w:bCs/>
      <w:sz w:val="20"/>
      <w:szCs w:val="20"/>
    </w:rPr>
  </w:style>
  <w:style w:type="paragraph" w:styleId="Revision">
    <w:name w:val="Revision"/>
    <w:hidden/>
    <w:uiPriority w:val="99"/>
    <w:semiHidden/>
    <w:rsid w:val="00202050"/>
    <w:pPr>
      <w:spacing w:after="0" w:line="240" w:lineRule="auto"/>
    </w:pPr>
  </w:style>
  <w:style w:type="character" w:styleId="Emphasis">
    <w:name w:val="Emphasis"/>
    <w:basedOn w:val="DefaultParagraphFont"/>
    <w:uiPriority w:val="20"/>
    <w:qFormat/>
    <w:rsid w:val="00855B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B5634EB390FB479B372A4CEF71D5EA" ma:contentTypeVersion="18" ma:contentTypeDescription="Create a new document." ma:contentTypeScope="" ma:versionID="3d00167efc38a4797fa4cd4e694090e7">
  <xsd:schema xmlns:xsd="http://www.w3.org/2001/XMLSchema" xmlns:xs="http://www.w3.org/2001/XMLSchema" xmlns:p="http://schemas.microsoft.com/office/2006/metadata/properties" xmlns:ns2="f6439bbe-5f69-489c-9027-c809fcc50868" xmlns:ns3="236ef46e-e3b7-46df-8f3c-b78cccef73f4" targetNamespace="http://schemas.microsoft.com/office/2006/metadata/properties" ma:root="true" ma:fieldsID="120690fedd13547e52a172bd86cf5ab4" ns2:_="" ns3:_="">
    <xsd:import namespace="f6439bbe-5f69-489c-9027-c809fcc50868"/>
    <xsd:import namespace="236ef46e-e3b7-46df-8f3c-b78cccef73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39bbe-5f69-489c-9027-c809fcc50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e4d546c-0a29-4458-a7d3-d65ac783b9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6ef46e-e3b7-46df-8f3c-b78cccef73f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4f0e7c-c481-42a8-af44-718e80ff3d02}" ma:internalName="TaxCatchAll" ma:showField="CatchAllData" ma:web="236ef46e-e3b7-46df-8f3c-b78cccef73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9992A1-7473-483F-B440-1600AF0F6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39bbe-5f69-489c-9027-c809fcc50868"/>
    <ds:schemaRef ds:uri="236ef46e-e3b7-46df-8f3c-b78cccef7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033EB-5396-4249-965B-3F89850F4E7E}">
  <ds:schemaRefs>
    <ds:schemaRef ds:uri="http://schemas.openxmlformats.org/officeDocument/2006/bibliography"/>
  </ds:schemaRefs>
</ds:datastoreItem>
</file>

<file path=customXml/itemProps3.xml><?xml version="1.0" encoding="utf-8"?>
<ds:datastoreItem xmlns:ds="http://schemas.openxmlformats.org/officeDocument/2006/customXml" ds:itemID="{125E218C-F993-4B24-B8D6-2024ECCE2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4117</Words>
  <Characters>23473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Snyderwine</dc:creator>
  <cp:keywords/>
  <dc:description/>
  <cp:lastModifiedBy>Joseph Snyderwine</cp:lastModifiedBy>
  <cp:revision>2</cp:revision>
  <dcterms:created xsi:type="dcterms:W3CDTF">2022-10-20T15:59:00Z</dcterms:created>
  <dcterms:modified xsi:type="dcterms:W3CDTF">2022-10-20T15:59:00Z</dcterms:modified>
</cp:coreProperties>
</file>